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F7AAE" w14:textId="77777777" w:rsidR="00A37A48" w:rsidRPr="00BF0561" w:rsidRDefault="00A37A48" w:rsidP="00D902D1">
      <w:pPr>
        <w:spacing w:after="0" w:line="240" w:lineRule="auto"/>
        <w:jc w:val="center"/>
        <w:rPr>
          <w:b/>
        </w:rPr>
      </w:pPr>
    </w:p>
    <w:tbl>
      <w:tblPr>
        <w:tblStyle w:val="TableGrid1"/>
        <w:tblW w:w="9776" w:type="dxa"/>
        <w:tblLook w:val="04A0" w:firstRow="1" w:lastRow="0" w:firstColumn="1" w:lastColumn="0" w:noHBand="0" w:noVBand="1"/>
      </w:tblPr>
      <w:tblGrid>
        <w:gridCol w:w="2254"/>
        <w:gridCol w:w="4262"/>
        <w:gridCol w:w="3260"/>
      </w:tblGrid>
      <w:tr w:rsidR="00945724" w:rsidRPr="00945724" w14:paraId="4E2827A9" w14:textId="77777777" w:rsidTr="5F03E608">
        <w:tc>
          <w:tcPr>
            <w:tcW w:w="2254" w:type="dxa"/>
            <w:shd w:val="clear" w:color="auto" w:fill="D9D9D9" w:themeFill="background1" w:themeFillShade="D9"/>
          </w:tcPr>
          <w:p w14:paraId="0D057292" w14:textId="77777777" w:rsidR="00945724" w:rsidRPr="00945724" w:rsidRDefault="00945724" w:rsidP="00945724">
            <w:pPr>
              <w:widowControl w:val="0"/>
              <w:spacing w:line="276" w:lineRule="auto"/>
              <w:jc w:val="center"/>
              <w:rPr>
                <w:rFonts w:ascii="Arial" w:hAnsi="Arial" w:cs="Arial"/>
                <w:b/>
                <w:sz w:val="24"/>
                <w:szCs w:val="24"/>
                <w:lang w:val="en-US"/>
              </w:rPr>
            </w:pPr>
            <w:r w:rsidRPr="00945724">
              <w:rPr>
                <w:rFonts w:ascii="Arial" w:hAnsi="Arial" w:cs="Arial"/>
                <w:b/>
                <w:sz w:val="24"/>
                <w:szCs w:val="24"/>
                <w:lang w:val="en-US"/>
              </w:rPr>
              <w:t>Version</w:t>
            </w:r>
          </w:p>
        </w:tc>
        <w:tc>
          <w:tcPr>
            <w:tcW w:w="4262" w:type="dxa"/>
            <w:shd w:val="clear" w:color="auto" w:fill="D9D9D9" w:themeFill="background1" w:themeFillShade="D9"/>
          </w:tcPr>
          <w:p w14:paraId="25090BA1" w14:textId="77777777" w:rsidR="00945724" w:rsidRPr="00945724" w:rsidRDefault="00945724" w:rsidP="00945724">
            <w:pPr>
              <w:widowControl w:val="0"/>
              <w:spacing w:line="276" w:lineRule="auto"/>
              <w:jc w:val="center"/>
              <w:rPr>
                <w:rFonts w:ascii="Arial" w:hAnsi="Arial" w:cs="Arial"/>
                <w:b/>
                <w:sz w:val="24"/>
                <w:szCs w:val="24"/>
                <w:lang w:val="en-US"/>
              </w:rPr>
            </w:pPr>
            <w:r w:rsidRPr="00945724">
              <w:rPr>
                <w:rFonts w:ascii="Arial" w:hAnsi="Arial" w:cs="Arial"/>
                <w:b/>
                <w:sz w:val="24"/>
                <w:szCs w:val="24"/>
                <w:lang w:val="en-US"/>
              </w:rPr>
              <w:t>Approved by Governance Board</w:t>
            </w:r>
          </w:p>
        </w:tc>
        <w:tc>
          <w:tcPr>
            <w:tcW w:w="3260" w:type="dxa"/>
            <w:shd w:val="clear" w:color="auto" w:fill="D9D9D9" w:themeFill="background1" w:themeFillShade="D9"/>
          </w:tcPr>
          <w:p w14:paraId="670FE8FE" w14:textId="77777777" w:rsidR="00945724" w:rsidRPr="00945724" w:rsidRDefault="00945724" w:rsidP="00945724">
            <w:pPr>
              <w:widowControl w:val="0"/>
              <w:spacing w:line="276" w:lineRule="auto"/>
              <w:jc w:val="center"/>
              <w:rPr>
                <w:rFonts w:ascii="Arial" w:hAnsi="Arial" w:cs="Arial"/>
                <w:b/>
                <w:sz w:val="24"/>
                <w:szCs w:val="24"/>
                <w:lang w:val="en-US"/>
              </w:rPr>
            </w:pPr>
            <w:r w:rsidRPr="00945724">
              <w:rPr>
                <w:rFonts w:ascii="Arial" w:hAnsi="Arial" w:cs="Arial"/>
                <w:b/>
                <w:sz w:val="24"/>
                <w:szCs w:val="24"/>
                <w:lang w:val="en-US"/>
              </w:rPr>
              <w:t xml:space="preserve">Reviewed </w:t>
            </w:r>
          </w:p>
          <w:p w14:paraId="686A3961" w14:textId="77777777" w:rsidR="00945724" w:rsidRPr="00945724" w:rsidRDefault="00945724" w:rsidP="00945724">
            <w:pPr>
              <w:widowControl w:val="0"/>
              <w:spacing w:line="276" w:lineRule="auto"/>
              <w:jc w:val="center"/>
              <w:rPr>
                <w:rFonts w:ascii="Arial" w:hAnsi="Arial" w:cs="Arial"/>
                <w:b/>
                <w:sz w:val="24"/>
                <w:szCs w:val="24"/>
                <w:lang w:val="en-US"/>
              </w:rPr>
            </w:pPr>
          </w:p>
        </w:tc>
      </w:tr>
      <w:tr w:rsidR="00945724" w:rsidRPr="00945724" w14:paraId="5FF1DFA5" w14:textId="77777777" w:rsidTr="5F03E608">
        <w:tc>
          <w:tcPr>
            <w:tcW w:w="2254" w:type="dxa"/>
          </w:tcPr>
          <w:p w14:paraId="75866E09" w14:textId="77777777" w:rsidR="00945724" w:rsidRPr="00945724" w:rsidRDefault="00945724" w:rsidP="00945724">
            <w:pPr>
              <w:widowControl w:val="0"/>
              <w:spacing w:line="276" w:lineRule="auto"/>
              <w:jc w:val="center"/>
              <w:rPr>
                <w:rFonts w:ascii="Arial" w:hAnsi="Arial" w:cs="Arial"/>
                <w:b/>
                <w:sz w:val="24"/>
                <w:szCs w:val="24"/>
                <w:lang w:val="en-US"/>
              </w:rPr>
            </w:pPr>
            <w:r w:rsidRPr="00945724">
              <w:rPr>
                <w:rFonts w:ascii="Arial" w:hAnsi="Arial" w:cs="Arial"/>
                <w:b/>
                <w:sz w:val="24"/>
                <w:szCs w:val="24"/>
                <w:lang w:val="en-US"/>
              </w:rPr>
              <w:t>002</w:t>
            </w:r>
          </w:p>
        </w:tc>
        <w:tc>
          <w:tcPr>
            <w:tcW w:w="4262" w:type="dxa"/>
          </w:tcPr>
          <w:p w14:paraId="413841D6" w14:textId="57B37E03" w:rsidR="00945724" w:rsidRPr="00945724" w:rsidRDefault="00945724" w:rsidP="00945724">
            <w:pPr>
              <w:widowControl w:val="0"/>
              <w:spacing w:line="276" w:lineRule="auto"/>
              <w:jc w:val="center"/>
              <w:rPr>
                <w:rFonts w:ascii="Arial" w:hAnsi="Arial" w:cs="Arial"/>
                <w:b/>
                <w:sz w:val="24"/>
                <w:szCs w:val="24"/>
                <w:lang w:val="en-US"/>
              </w:rPr>
            </w:pPr>
          </w:p>
        </w:tc>
        <w:tc>
          <w:tcPr>
            <w:tcW w:w="3260" w:type="dxa"/>
          </w:tcPr>
          <w:p w14:paraId="26427E3E" w14:textId="352E799F" w:rsidR="00945724" w:rsidRPr="00945724" w:rsidRDefault="005D5749" w:rsidP="5F03E608">
            <w:pPr>
              <w:widowControl w:val="0"/>
              <w:spacing w:after="200" w:line="276" w:lineRule="auto"/>
              <w:jc w:val="center"/>
            </w:pPr>
            <w:r>
              <w:rPr>
                <w:rFonts w:ascii="Arial" w:hAnsi="Arial" w:cs="Arial"/>
                <w:b/>
                <w:bCs/>
                <w:sz w:val="24"/>
                <w:szCs w:val="24"/>
                <w:lang w:val="en-US"/>
              </w:rPr>
              <w:t>July</w:t>
            </w:r>
            <w:r w:rsidR="2831480F" w:rsidRPr="5F03E608">
              <w:rPr>
                <w:rFonts w:ascii="Arial" w:hAnsi="Arial" w:cs="Arial"/>
                <w:b/>
                <w:bCs/>
                <w:sz w:val="24"/>
                <w:szCs w:val="24"/>
                <w:lang w:val="en-US"/>
              </w:rPr>
              <w:t xml:space="preserve"> 2024</w:t>
            </w:r>
          </w:p>
        </w:tc>
      </w:tr>
      <w:tr w:rsidR="00945724" w:rsidRPr="00945724" w14:paraId="4F84D97B" w14:textId="77777777" w:rsidTr="5F03E608">
        <w:tc>
          <w:tcPr>
            <w:tcW w:w="9776" w:type="dxa"/>
            <w:gridSpan w:val="3"/>
          </w:tcPr>
          <w:p w14:paraId="5D1DB5F3" w14:textId="77777777" w:rsidR="00945724" w:rsidRPr="00945724" w:rsidRDefault="00945724" w:rsidP="00945724">
            <w:pPr>
              <w:widowControl w:val="0"/>
              <w:spacing w:line="276" w:lineRule="auto"/>
              <w:ind w:left="370" w:hanging="10"/>
              <w:rPr>
                <w:rFonts w:ascii="Arial" w:hAnsi="Arial" w:cs="Arial"/>
                <w:b/>
                <w:sz w:val="24"/>
                <w:szCs w:val="24"/>
                <w:lang w:val="en-US"/>
              </w:rPr>
            </w:pPr>
            <w:r w:rsidRPr="00945724">
              <w:rPr>
                <w:rFonts w:ascii="Arial" w:hAnsi="Arial" w:cs="Arial"/>
                <w:b/>
                <w:sz w:val="24"/>
                <w:szCs w:val="24"/>
                <w:lang w:val="en-US"/>
              </w:rPr>
              <w:t xml:space="preserve">Revisions: </w:t>
            </w:r>
          </w:p>
          <w:p w14:paraId="57DA1287" w14:textId="1355DD42" w:rsidR="00945724" w:rsidRPr="00945724" w:rsidRDefault="00945724" w:rsidP="00945724">
            <w:pPr>
              <w:widowControl w:val="0"/>
              <w:spacing w:line="276" w:lineRule="auto"/>
              <w:ind w:left="370" w:hanging="10"/>
              <w:rPr>
                <w:rFonts w:ascii="Arial" w:hAnsi="Arial" w:cs="Arial"/>
                <w:b/>
                <w:sz w:val="24"/>
                <w:szCs w:val="24"/>
                <w:lang w:val="en-US"/>
              </w:rPr>
            </w:pPr>
            <w:r w:rsidRPr="00945724">
              <w:rPr>
                <w:rFonts w:ascii="Arial" w:hAnsi="Arial" w:cs="Arial"/>
                <w:b/>
                <w:sz w:val="24"/>
                <w:szCs w:val="24"/>
                <w:lang w:val="en-US"/>
              </w:rPr>
              <w:t xml:space="preserve">Additions for </w:t>
            </w:r>
          </w:p>
          <w:p w14:paraId="6405AA6B" w14:textId="77777777" w:rsidR="00945724" w:rsidRPr="00945724" w:rsidRDefault="00945724" w:rsidP="00945724">
            <w:pPr>
              <w:widowControl w:val="0"/>
              <w:spacing w:line="276" w:lineRule="auto"/>
              <w:ind w:left="370" w:hanging="10"/>
              <w:rPr>
                <w:rFonts w:ascii="Arial" w:hAnsi="Arial" w:cs="Arial"/>
                <w:b/>
                <w:sz w:val="24"/>
                <w:szCs w:val="24"/>
                <w:lang w:val="en-US"/>
              </w:rPr>
            </w:pPr>
            <w:r w:rsidRPr="00945724">
              <w:rPr>
                <w:rFonts w:ascii="Arial" w:hAnsi="Arial" w:cs="Arial"/>
                <w:b/>
                <w:sz w:val="24"/>
                <w:szCs w:val="24"/>
                <w:lang w:val="en-US"/>
              </w:rPr>
              <w:t>Changes to</w:t>
            </w:r>
          </w:p>
          <w:p w14:paraId="4867C1DB" w14:textId="77777777" w:rsidR="00945724" w:rsidRPr="00945724" w:rsidRDefault="00945724" w:rsidP="00945724">
            <w:pPr>
              <w:widowControl w:val="0"/>
              <w:ind w:left="370" w:hanging="10"/>
              <w:rPr>
                <w:rFonts w:ascii="Arial" w:hAnsi="Arial" w:cs="Arial"/>
                <w:b/>
                <w:sz w:val="24"/>
                <w:szCs w:val="24"/>
                <w:lang w:val="en-US"/>
              </w:rPr>
            </w:pPr>
          </w:p>
        </w:tc>
      </w:tr>
      <w:tr w:rsidR="00945724" w:rsidRPr="00945724" w14:paraId="05D98209" w14:textId="77777777" w:rsidTr="5F03E608">
        <w:tc>
          <w:tcPr>
            <w:tcW w:w="9776" w:type="dxa"/>
            <w:gridSpan w:val="3"/>
          </w:tcPr>
          <w:p w14:paraId="3698253E" w14:textId="32CE526D" w:rsidR="00945724" w:rsidRPr="00945724" w:rsidRDefault="00945724" w:rsidP="00945724">
            <w:pPr>
              <w:widowControl w:val="0"/>
              <w:ind w:left="370" w:hanging="10"/>
              <w:rPr>
                <w:rFonts w:ascii="Arial" w:hAnsi="Arial" w:cs="Arial"/>
                <w:sz w:val="24"/>
                <w:szCs w:val="24"/>
                <w:lang w:val="en-US"/>
              </w:rPr>
            </w:pPr>
            <w:r w:rsidRPr="5F03E608">
              <w:rPr>
                <w:rFonts w:ascii="Arial" w:hAnsi="Arial" w:cs="Arial"/>
                <w:sz w:val="24"/>
                <w:szCs w:val="24"/>
                <w:lang w:val="en-US"/>
              </w:rPr>
              <w:t>SEN recreational courses</w:t>
            </w:r>
            <w:r w:rsidR="0DD4E794" w:rsidRPr="5F03E608">
              <w:rPr>
                <w:rFonts w:ascii="Arial" w:hAnsi="Arial" w:cs="Arial"/>
                <w:sz w:val="24"/>
                <w:szCs w:val="24"/>
                <w:lang w:val="en-US"/>
              </w:rPr>
              <w:t xml:space="preserve"> (Club)</w:t>
            </w:r>
            <w:r w:rsidRPr="5F03E608">
              <w:rPr>
                <w:rFonts w:ascii="Arial" w:hAnsi="Arial" w:cs="Arial"/>
                <w:sz w:val="24"/>
                <w:szCs w:val="24"/>
                <w:lang w:val="en-US"/>
              </w:rPr>
              <w:t xml:space="preserve"> charge increased to</w:t>
            </w:r>
            <w:r w:rsidR="691D9A33" w:rsidRPr="5F03E608">
              <w:rPr>
                <w:rFonts w:ascii="Arial" w:hAnsi="Arial" w:cs="Arial"/>
                <w:sz w:val="24"/>
                <w:szCs w:val="24"/>
                <w:lang w:val="en-US"/>
              </w:rPr>
              <w:t xml:space="preserve"> £</w:t>
            </w:r>
            <w:r w:rsidRPr="5F03E608">
              <w:rPr>
                <w:rFonts w:ascii="Arial" w:hAnsi="Arial" w:cs="Arial"/>
                <w:sz w:val="24"/>
                <w:szCs w:val="24"/>
                <w:lang w:val="en-US"/>
              </w:rPr>
              <w:t>15</w:t>
            </w:r>
            <w:r w:rsidR="5293F207" w:rsidRPr="5F03E608">
              <w:rPr>
                <w:rFonts w:ascii="Arial" w:hAnsi="Arial" w:cs="Arial"/>
                <w:sz w:val="24"/>
                <w:szCs w:val="24"/>
                <w:lang w:val="en-US"/>
              </w:rPr>
              <w:t>-£20</w:t>
            </w:r>
            <w:r w:rsidR="75D55D83" w:rsidRPr="5F03E608">
              <w:rPr>
                <w:rFonts w:ascii="Arial" w:hAnsi="Arial" w:cs="Arial"/>
                <w:sz w:val="24"/>
                <w:szCs w:val="24"/>
                <w:lang w:val="en-US"/>
              </w:rPr>
              <w:t xml:space="preserve"> </w:t>
            </w:r>
            <w:r w:rsidRPr="5F03E608">
              <w:rPr>
                <w:rFonts w:ascii="Arial" w:hAnsi="Arial" w:cs="Arial"/>
                <w:sz w:val="24"/>
                <w:szCs w:val="24"/>
                <w:lang w:val="en-US"/>
              </w:rPr>
              <w:t>per hour</w:t>
            </w:r>
          </w:p>
        </w:tc>
      </w:tr>
      <w:tr w:rsidR="00945724" w:rsidRPr="00945724" w14:paraId="549D9412" w14:textId="77777777" w:rsidTr="5F03E608">
        <w:tc>
          <w:tcPr>
            <w:tcW w:w="9776" w:type="dxa"/>
            <w:gridSpan w:val="3"/>
          </w:tcPr>
          <w:p w14:paraId="6794DADF" w14:textId="69C7338C" w:rsidR="00945724" w:rsidRPr="00945724" w:rsidRDefault="790F8B36" w:rsidP="5F03E608">
            <w:pPr>
              <w:widowControl w:val="0"/>
              <w:ind w:left="370" w:hanging="10"/>
              <w:rPr>
                <w:rFonts w:ascii="Arial" w:hAnsi="Arial" w:cs="Arial"/>
                <w:sz w:val="24"/>
                <w:szCs w:val="24"/>
                <w:lang w:val="en-US"/>
              </w:rPr>
            </w:pPr>
            <w:r w:rsidRPr="5F03E608">
              <w:rPr>
                <w:rFonts w:ascii="Arial" w:hAnsi="Arial" w:cs="Arial"/>
                <w:sz w:val="24"/>
                <w:szCs w:val="24"/>
                <w:lang w:val="en-US"/>
              </w:rPr>
              <w:t>Community Learning Courses increased by £1 per hour</w:t>
            </w:r>
          </w:p>
        </w:tc>
      </w:tr>
      <w:tr w:rsidR="00945724" w:rsidRPr="00945724" w14:paraId="74212165" w14:textId="77777777" w:rsidTr="5F03E608">
        <w:tc>
          <w:tcPr>
            <w:tcW w:w="9776" w:type="dxa"/>
            <w:gridSpan w:val="3"/>
          </w:tcPr>
          <w:p w14:paraId="3C46686E" w14:textId="31FE4917" w:rsidR="005D5749" w:rsidRPr="005D5749" w:rsidRDefault="005D5749" w:rsidP="005D5749">
            <w:pPr>
              <w:widowControl w:val="0"/>
              <w:ind w:left="370" w:hanging="10"/>
              <w:rPr>
                <w:rFonts w:ascii="Arial" w:hAnsi="Arial" w:cs="Arial"/>
                <w:bCs/>
                <w:sz w:val="24"/>
                <w:szCs w:val="24"/>
                <w:lang w:val="en-US"/>
              </w:rPr>
            </w:pPr>
            <w:r>
              <w:rPr>
                <w:rFonts w:ascii="Arial" w:hAnsi="Arial" w:cs="Arial"/>
                <w:bCs/>
                <w:sz w:val="24"/>
                <w:szCs w:val="24"/>
                <w:lang w:val="en-US"/>
              </w:rPr>
              <w:t>Added Internal &amp; External exam fee’s</w:t>
            </w:r>
          </w:p>
        </w:tc>
      </w:tr>
      <w:tr w:rsidR="005D5749" w:rsidRPr="00945724" w14:paraId="2617CAFC" w14:textId="77777777" w:rsidTr="5F03E608">
        <w:tc>
          <w:tcPr>
            <w:tcW w:w="9776" w:type="dxa"/>
            <w:gridSpan w:val="3"/>
          </w:tcPr>
          <w:p w14:paraId="4BC38024" w14:textId="29A6DC75" w:rsidR="005D5749" w:rsidRDefault="005D5749" w:rsidP="005D5749">
            <w:pPr>
              <w:widowControl w:val="0"/>
              <w:ind w:left="370" w:hanging="10"/>
              <w:rPr>
                <w:bCs/>
                <w:lang w:val="en-US"/>
              </w:rPr>
            </w:pPr>
            <w:r w:rsidRPr="005D5749">
              <w:rPr>
                <w:rFonts w:ascii="Arial" w:hAnsi="Arial" w:cs="Arial"/>
                <w:bCs/>
                <w:sz w:val="24"/>
                <w:szCs w:val="24"/>
                <w:lang w:val="en-US"/>
              </w:rPr>
              <w:t>Changes made to section 7 - Discounts &amp; Incentives</w:t>
            </w:r>
          </w:p>
        </w:tc>
      </w:tr>
    </w:tbl>
    <w:p w14:paraId="4347C8B1" w14:textId="77777777" w:rsidR="00945724" w:rsidRDefault="00945724" w:rsidP="006834E3">
      <w:pPr>
        <w:ind w:right="-192"/>
        <w:jc w:val="center"/>
        <w:rPr>
          <w:b/>
          <w:color w:val="000000"/>
          <w:sz w:val="28"/>
          <w:szCs w:val="28"/>
        </w:rPr>
      </w:pPr>
    </w:p>
    <w:p w14:paraId="59342F4D" w14:textId="77777777" w:rsidR="00945724" w:rsidRDefault="00945724" w:rsidP="006834E3">
      <w:pPr>
        <w:ind w:right="-192"/>
        <w:jc w:val="center"/>
        <w:rPr>
          <w:b/>
          <w:color w:val="000000"/>
          <w:sz w:val="28"/>
          <w:szCs w:val="28"/>
        </w:rPr>
      </w:pPr>
    </w:p>
    <w:p w14:paraId="1E521D56" w14:textId="74E3DBE6" w:rsidR="006834E3" w:rsidRPr="00BF0561" w:rsidRDefault="006834E3" w:rsidP="5F03E608">
      <w:pPr>
        <w:ind w:right="-192"/>
        <w:jc w:val="center"/>
        <w:rPr>
          <w:b/>
          <w:bCs/>
          <w:color w:val="000000"/>
          <w:sz w:val="28"/>
          <w:szCs w:val="28"/>
        </w:rPr>
      </w:pPr>
      <w:r w:rsidRPr="5F03E608">
        <w:rPr>
          <w:b/>
          <w:bCs/>
          <w:color w:val="000000" w:themeColor="text1"/>
          <w:sz w:val="28"/>
          <w:szCs w:val="28"/>
        </w:rPr>
        <w:t xml:space="preserve">Fee Policy </w:t>
      </w:r>
      <w:r w:rsidR="00507119" w:rsidRPr="5F03E608">
        <w:rPr>
          <w:b/>
          <w:bCs/>
          <w:color w:val="000000" w:themeColor="text1"/>
          <w:sz w:val="28"/>
          <w:szCs w:val="28"/>
        </w:rPr>
        <w:t>202</w:t>
      </w:r>
      <w:r w:rsidR="1B300A63" w:rsidRPr="5F03E608">
        <w:rPr>
          <w:b/>
          <w:bCs/>
          <w:color w:val="000000" w:themeColor="text1"/>
          <w:sz w:val="28"/>
          <w:szCs w:val="28"/>
        </w:rPr>
        <w:t>4-25</w:t>
      </w:r>
    </w:p>
    <w:p w14:paraId="4F3C2198" w14:textId="77777777" w:rsidR="006834E3" w:rsidRPr="00BF0561" w:rsidRDefault="006834E3" w:rsidP="006834E3">
      <w:pPr>
        <w:spacing w:after="0"/>
        <w:ind w:right="-192"/>
        <w:rPr>
          <w:color w:val="000000"/>
        </w:rPr>
      </w:pPr>
      <w:r w:rsidRPr="00BF0561">
        <w:rPr>
          <w:b/>
          <w:color w:val="000000"/>
        </w:rPr>
        <w:t xml:space="preserve">Control of Document: </w:t>
      </w:r>
      <w:r w:rsidR="00D96F73">
        <w:rPr>
          <w:color w:val="000000"/>
        </w:rPr>
        <w:t>Southend Adult Community College</w:t>
      </w:r>
      <w:r w:rsidRPr="00BF0561">
        <w:rPr>
          <w:color w:val="000000"/>
        </w:rPr>
        <w:t xml:space="preserve"> Senior </w:t>
      </w:r>
      <w:r w:rsidR="006A52C4" w:rsidRPr="00BF0561">
        <w:rPr>
          <w:color w:val="000000"/>
        </w:rPr>
        <w:t>Leadership</w:t>
      </w:r>
      <w:r w:rsidRPr="00BF0561">
        <w:rPr>
          <w:color w:val="000000"/>
        </w:rPr>
        <w:t xml:space="preserve"> Team (S</w:t>
      </w:r>
      <w:r w:rsidR="006A52C4" w:rsidRPr="00BF0561">
        <w:rPr>
          <w:color w:val="000000"/>
        </w:rPr>
        <w:t>L</w:t>
      </w:r>
      <w:r w:rsidRPr="00BF0561">
        <w:rPr>
          <w:color w:val="000000"/>
        </w:rPr>
        <w:t>T)</w:t>
      </w:r>
    </w:p>
    <w:p w14:paraId="50E192AB" w14:textId="0F08ED66" w:rsidR="006834E3" w:rsidRPr="00BF0561" w:rsidRDefault="006834E3" w:rsidP="006834E3">
      <w:pPr>
        <w:spacing w:after="0"/>
        <w:ind w:right="-192"/>
        <w:rPr>
          <w:color w:val="000000"/>
        </w:rPr>
      </w:pPr>
      <w:r w:rsidRPr="00BF0561">
        <w:rPr>
          <w:b/>
          <w:color w:val="000000"/>
        </w:rPr>
        <w:t xml:space="preserve">Responsibility Group: </w:t>
      </w:r>
      <w:r w:rsidR="00E53A43">
        <w:rPr>
          <w:color w:val="000000"/>
        </w:rPr>
        <w:t>S</w:t>
      </w:r>
      <w:r w:rsidR="008B5682">
        <w:rPr>
          <w:color w:val="000000"/>
        </w:rPr>
        <w:t>C</w:t>
      </w:r>
      <w:r w:rsidR="00E53A43">
        <w:rPr>
          <w:color w:val="000000"/>
        </w:rPr>
        <w:t xml:space="preserve">C Governance </w:t>
      </w:r>
      <w:r w:rsidR="006A52C4" w:rsidRPr="00BF0561">
        <w:rPr>
          <w:color w:val="000000"/>
        </w:rPr>
        <w:t>(</w:t>
      </w:r>
      <w:r w:rsidR="00C93320">
        <w:rPr>
          <w:color w:val="000000"/>
        </w:rPr>
        <w:t>S</w:t>
      </w:r>
      <w:r w:rsidR="008B5682">
        <w:rPr>
          <w:color w:val="000000"/>
        </w:rPr>
        <w:t>C</w:t>
      </w:r>
      <w:r w:rsidR="00C93320">
        <w:rPr>
          <w:color w:val="000000"/>
        </w:rPr>
        <w:t>C</w:t>
      </w:r>
      <w:r w:rsidR="006A52C4" w:rsidRPr="00BF0561">
        <w:rPr>
          <w:color w:val="000000"/>
        </w:rPr>
        <w:t>)</w:t>
      </w:r>
    </w:p>
    <w:p w14:paraId="78C48AC7" w14:textId="6EE608D0" w:rsidR="006834E3" w:rsidRPr="00BF0561" w:rsidRDefault="006834E3" w:rsidP="006834E3">
      <w:pPr>
        <w:spacing w:after="0"/>
        <w:ind w:right="-192"/>
        <w:rPr>
          <w:color w:val="000000"/>
        </w:rPr>
      </w:pPr>
      <w:r w:rsidRPr="00BF0561">
        <w:rPr>
          <w:b/>
          <w:color w:val="000000"/>
        </w:rPr>
        <w:t>Date of Acceptance:</w:t>
      </w:r>
      <w:r w:rsidRPr="00BF0561">
        <w:rPr>
          <w:color w:val="000000"/>
        </w:rPr>
        <w:t xml:space="preserve">   </w:t>
      </w:r>
      <w:r w:rsidR="00507119">
        <w:rPr>
          <w:color w:val="000000"/>
        </w:rPr>
        <w:t>0</w:t>
      </w:r>
      <w:r w:rsidR="008B5682">
        <w:rPr>
          <w:color w:val="000000"/>
        </w:rPr>
        <w:t>1</w:t>
      </w:r>
      <w:r w:rsidR="006A52C4" w:rsidRPr="00BF0561">
        <w:rPr>
          <w:color w:val="000000"/>
        </w:rPr>
        <w:t xml:space="preserve"> </w:t>
      </w:r>
      <w:r w:rsidR="008B5682">
        <w:rPr>
          <w:color w:val="000000"/>
        </w:rPr>
        <w:t>May</w:t>
      </w:r>
      <w:r w:rsidR="00C34B92" w:rsidRPr="00BF0561">
        <w:rPr>
          <w:color w:val="000000"/>
        </w:rPr>
        <w:t xml:space="preserve"> 20</w:t>
      </w:r>
      <w:r w:rsidR="00507119">
        <w:rPr>
          <w:color w:val="000000"/>
        </w:rPr>
        <w:t>2</w:t>
      </w:r>
      <w:r w:rsidR="008B5682">
        <w:rPr>
          <w:color w:val="000000"/>
        </w:rPr>
        <w:t>3</w:t>
      </w:r>
    </w:p>
    <w:p w14:paraId="270CDA46" w14:textId="2A206F48" w:rsidR="006B54CB" w:rsidRPr="00BF0561" w:rsidRDefault="006834E3" w:rsidP="5F03E608">
      <w:pPr>
        <w:spacing w:after="0" w:line="240" w:lineRule="auto"/>
        <w:rPr>
          <w:color w:val="000000" w:themeColor="text1"/>
        </w:rPr>
      </w:pPr>
      <w:r w:rsidRPr="5F03E608">
        <w:rPr>
          <w:b/>
          <w:bCs/>
          <w:color w:val="000000" w:themeColor="text1"/>
        </w:rPr>
        <w:t>Next review Date</w:t>
      </w:r>
      <w:r w:rsidRPr="5F03E608">
        <w:rPr>
          <w:color w:val="000000" w:themeColor="text1"/>
        </w:rPr>
        <w:t xml:space="preserve">: </w:t>
      </w:r>
      <w:r w:rsidR="008B5682" w:rsidRPr="5F03E608">
        <w:rPr>
          <w:color w:val="000000" w:themeColor="text1"/>
        </w:rPr>
        <w:t>May</w:t>
      </w:r>
      <w:r w:rsidR="00507119" w:rsidRPr="5F03E608">
        <w:rPr>
          <w:color w:val="000000" w:themeColor="text1"/>
        </w:rPr>
        <w:t xml:space="preserve"> </w:t>
      </w:r>
      <w:r w:rsidR="0060373C" w:rsidRPr="5F03E608">
        <w:rPr>
          <w:color w:val="000000" w:themeColor="text1"/>
        </w:rPr>
        <w:t>20</w:t>
      </w:r>
      <w:r w:rsidR="00507119" w:rsidRPr="5F03E608">
        <w:rPr>
          <w:color w:val="000000" w:themeColor="text1"/>
        </w:rPr>
        <w:t>2</w:t>
      </w:r>
      <w:r w:rsidR="3ECF0EA9" w:rsidRPr="5F03E608">
        <w:rPr>
          <w:color w:val="000000" w:themeColor="text1"/>
        </w:rPr>
        <w:t>5</w:t>
      </w:r>
    </w:p>
    <w:p w14:paraId="331E6B26" w14:textId="77777777" w:rsidR="00047FD4" w:rsidRPr="00BF0561" w:rsidRDefault="00047FD4" w:rsidP="00047FD4">
      <w:pPr>
        <w:spacing w:after="0" w:line="240" w:lineRule="auto"/>
        <w:jc w:val="center"/>
        <w:rPr>
          <w:b/>
        </w:rPr>
      </w:pPr>
    </w:p>
    <w:p w14:paraId="310161BA" w14:textId="77777777" w:rsidR="002D5ABC" w:rsidRPr="00BF0561" w:rsidRDefault="002D5ABC" w:rsidP="002620C4">
      <w:pPr>
        <w:spacing w:after="0" w:line="240" w:lineRule="auto"/>
        <w:rPr>
          <w:rFonts w:eastAsia="Times New Roman"/>
          <w:b/>
          <w:lang w:eastAsia="en-GB"/>
        </w:rPr>
      </w:pPr>
      <w:r w:rsidRPr="00BF0561">
        <w:rPr>
          <w:rFonts w:eastAsia="Times New Roman"/>
          <w:b/>
          <w:bCs/>
          <w:lang w:eastAsia="en-GB"/>
        </w:rPr>
        <w:t>Introduction</w:t>
      </w:r>
    </w:p>
    <w:p w14:paraId="1D0EFD01" w14:textId="77777777" w:rsidR="002D5ABC" w:rsidRPr="00BF0561" w:rsidRDefault="002D5ABC" w:rsidP="002D5ABC">
      <w:pPr>
        <w:pStyle w:val="ListParagraph"/>
        <w:spacing w:after="0" w:line="240" w:lineRule="auto"/>
        <w:ind w:left="1260"/>
        <w:rPr>
          <w:rFonts w:eastAsia="Times New Roman"/>
          <w:b/>
          <w:bCs/>
          <w:lang w:eastAsia="en-GB"/>
        </w:rPr>
      </w:pPr>
    </w:p>
    <w:p w14:paraId="630CE06F" w14:textId="77777777" w:rsidR="00F4264C" w:rsidRPr="00BF0561" w:rsidRDefault="002D5ABC" w:rsidP="006207C0">
      <w:pPr>
        <w:spacing w:after="0" w:line="240" w:lineRule="auto"/>
        <w:jc w:val="both"/>
        <w:rPr>
          <w:rFonts w:eastAsia="Times New Roman"/>
          <w:bCs/>
          <w:lang w:eastAsia="en-GB"/>
        </w:rPr>
      </w:pPr>
      <w:r w:rsidRPr="00BF0561">
        <w:rPr>
          <w:rFonts w:eastAsia="Times New Roman"/>
          <w:bCs/>
          <w:lang w:eastAsia="en-GB"/>
        </w:rPr>
        <w:t xml:space="preserve">This summary paper outlines the fee policy for </w:t>
      </w:r>
      <w:r w:rsidR="00C93320">
        <w:rPr>
          <w:rFonts w:eastAsia="Times New Roman"/>
          <w:bCs/>
          <w:lang w:eastAsia="en-GB"/>
        </w:rPr>
        <w:t>the college</w:t>
      </w:r>
      <w:r w:rsidR="00F01D4A" w:rsidRPr="00BF0561">
        <w:rPr>
          <w:rFonts w:eastAsia="Times New Roman"/>
          <w:bCs/>
          <w:lang w:eastAsia="en-GB"/>
        </w:rPr>
        <w:t xml:space="preserve"> for the </w:t>
      </w:r>
      <w:r w:rsidR="00507119">
        <w:rPr>
          <w:rFonts w:eastAsia="Times New Roman"/>
          <w:bCs/>
          <w:lang w:eastAsia="en-GB"/>
        </w:rPr>
        <w:t>2021-22</w:t>
      </w:r>
      <w:r w:rsidRPr="00BF0561">
        <w:rPr>
          <w:rFonts w:eastAsia="Times New Roman"/>
          <w:bCs/>
          <w:lang w:eastAsia="en-GB"/>
        </w:rPr>
        <w:t xml:space="preserve"> academic</w:t>
      </w:r>
      <w:r w:rsidR="00264058" w:rsidRPr="00BF0561">
        <w:rPr>
          <w:rFonts w:eastAsia="Times New Roman"/>
          <w:bCs/>
          <w:lang w:eastAsia="en-GB"/>
        </w:rPr>
        <w:t xml:space="preserve"> year.</w:t>
      </w:r>
      <w:r w:rsidR="00C34B92" w:rsidRPr="00BF0561">
        <w:rPr>
          <w:rFonts w:eastAsia="Times New Roman"/>
          <w:bCs/>
          <w:lang w:eastAsia="en-GB"/>
        </w:rPr>
        <w:t xml:space="preserve"> Annex A provides an explanation of the terms and acronyms used in this document.</w:t>
      </w:r>
    </w:p>
    <w:p w14:paraId="000AF0B3" w14:textId="77777777" w:rsidR="002D5ABC" w:rsidRPr="00BF0561" w:rsidRDefault="006C1970" w:rsidP="006207C0">
      <w:pPr>
        <w:spacing w:after="0" w:line="240" w:lineRule="auto"/>
        <w:jc w:val="both"/>
        <w:rPr>
          <w:rFonts w:eastAsia="Times New Roman"/>
          <w:bCs/>
          <w:lang w:eastAsia="en-GB"/>
        </w:rPr>
      </w:pPr>
      <w:r w:rsidRPr="00BF0561">
        <w:rPr>
          <w:rFonts w:eastAsia="Times New Roman"/>
          <w:bCs/>
          <w:lang w:eastAsia="en-GB"/>
        </w:rPr>
        <w:t xml:space="preserve"> </w:t>
      </w:r>
    </w:p>
    <w:p w14:paraId="3EC0A57F" w14:textId="4C3AEF5F" w:rsidR="002D5ABC" w:rsidRPr="00BF0561" w:rsidRDefault="00572A9A" w:rsidP="002620C4">
      <w:pPr>
        <w:spacing w:after="0" w:line="240" w:lineRule="auto"/>
        <w:rPr>
          <w:rFonts w:eastAsia="Times New Roman"/>
          <w:b/>
          <w:bCs/>
          <w:lang w:eastAsia="en-GB"/>
        </w:rPr>
      </w:pPr>
      <w:r>
        <w:rPr>
          <w:rFonts w:eastAsia="Times New Roman"/>
          <w:b/>
          <w:bCs/>
          <w:lang w:eastAsia="en-GB"/>
        </w:rPr>
        <w:t>1.</w:t>
      </w:r>
      <w:r w:rsidR="00C34B92" w:rsidRPr="00BF0561">
        <w:rPr>
          <w:rFonts w:eastAsia="Times New Roman"/>
          <w:b/>
          <w:bCs/>
          <w:lang w:eastAsia="en-GB"/>
        </w:rPr>
        <w:t>Courses which lead to a qualification (</w:t>
      </w:r>
      <w:r w:rsidR="002620C4" w:rsidRPr="00BF0561">
        <w:rPr>
          <w:rFonts w:eastAsia="Times New Roman"/>
          <w:b/>
          <w:bCs/>
          <w:lang w:eastAsia="en-GB"/>
        </w:rPr>
        <w:t>Accredited Learning</w:t>
      </w:r>
      <w:r w:rsidR="00C34B92" w:rsidRPr="00BF0561">
        <w:rPr>
          <w:rFonts w:eastAsia="Times New Roman"/>
          <w:b/>
          <w:bCs/>
          <w:lang w:eastAsia="en-GB"/>
        </w:rPr>
        <w:t>)</w:t>
      </w:r>
    </w:p>
    <w:p w14:paraId="7F99C1E4" w14:textId="77777777" w:rsidR="002D5ABC" w:rsidRPr="00BF0561" w:rsidRDefault="002D5ABC" w:rsidP="002D5ABC">
      <w:pPr>
        <w:spacing w:after="0" w:line="240" w:lineRule="auto"/>
        <w:rPr>
          <w:rFonts w:eastAsia="Times New Roman"/>
          <w:bCs/>
          <w:lang w:eastAsia="en-GB"/>
        </w:rPr>
      </w:pPr>
    </w:p>
    <w:p w14:paraId="48B03D9D" w14:textId="77777777" w:rsidR="00623BDF" w:rsidRPr="00BF0561" w:rsidRDefault="002D5ABC" w:rsidP="00466C6B">
      <w:pPr>
        <w:pStyle w:val="ListParagraph"/>
        <w:numPr>
          <w:ilvl w:val="1"/>
          <w:numId w:val="6"/>
        </w:numPr>
        <w:spacing w:after="0" w:line="240" w:lineRule="auto"/>
        <w:ind w:left="720"/>
        <w:jc w:val="both"/>
        <w:rPr>
          <w:rFonts w:eastAsia="Times New Roman"/>
          <w:bCs/>
          <w:lang w:eastAsia="en-GB"/>
        </w:rPr>
      </w:pPr>
      <w:r w:rsidRPr="00BF0561">
        <w:rPr>
          <w:rFonts w:eastAsia="Times New Roman"/>
          <w:bCs/>
          <w:lang w:eastAsia="en-GB"/>
        </w:rPr>
        <w:t xml:space="preserve">Learners who are eligible for </w:t>
      </w:r>
      <w:r w:rsidRPr="00BF0561">
        <w:rPr>
          <w:rFonts w:eastAsia="Times New Roman"/>
          <w:b/>
          <w:bCs/>
          <w:lang w:eastAsia="en-GB"/>
        </w:rPr>
        <w:t>full funding</w:t>
      </w:r>
      <w:r w:rsidRPr="00BF0561">
        <w:rPr>
          <w:rFonts w:eastAsia="Times New Roman"/>
          <w:bCs/>
          <w:lang w:eastAsia="en-GB"/>
        </w:rPr>
        <w:t xml:space="preserve"> from the </w:t>
      </w:r>
      <w:r w:rsidR="00B26715" w:rsidRPr="00BF0561">
        <w:rPr>
          <w:rFonts w:eastAsia="Times New Roman"/>
          <w:bCs/>
          <w:lang w:eastAsia="en-GB"/>
        </w:rPr>
        <w:t>E</w:t>
      </w:r>
      <w:r w:rsidRPr="00BF0561">
        <w:rPr>
          <w:rFonts w:eastAsia="Times New Roman"/>
          <w:bCs/>
          <w:lang w:eastAsia="en-GB"/>
        </w:rPr>
        <w:t>SFA will not be charged a fee for any aspect of the course, including exams, resources</w:t>
      </w:r>
      <w:r w:rsidR="00AF61D1" w:rsidRPr="00BF0561">
        <w:rPr>
          <w:rFonts w:eastAsia="Times New Roman"/>
          <w:bCs/>
          <w:lang w:eastAsia="en-GB"/>
        </w:rPr>
        <w:t xml:space="preserve"> or awarding organisation registration fees. In this scenario </w:t>
      </w:r>
      <w:r w:rsidR="00C93320">
        <w:rPr>
          <w:rFonts w:eastAsia="Times New Roman"/>
          <w:bCs/>
          <w:lang w:eastAsia="en-GB"/>
        </w:rPr>
        <w:t xml:space="preserve">the college </w:t>
      </w:r>
      <w:r w:rsidR="00AF61D1" w:rsidRPr="00BF0561">
        <w:rPr>
          <w:rFonts w:eastAsia="Times New Roman"/>
          <w:bCs/>
          <w:lang w:eastAsia="en-GB"/>
        </w:rPr>
        <w:t xml:space="preserve">will draw down 100% of the </w:t>
      </w:r>
      <w:r w:rsidR="00AF38C9" w:rsidRPr="00BF0561">
        <w:rPr>
          <w:rFonts w:eastAsia="Times New Roman"/>
          <w:bCs/>
          <w:lang w:eastAsia="en-GB"/>
        </w:rPr>
        <w:t>funding</w:t>
      </w:r>
      <w:r w:rsidR="00AF61D1" w:rsidRPr="00BF0561">
        <w:rPr>
          <w:rFonts w:eastAsia="Times New Roman"/>
          <w:bCs/>
          <w:lang w:eastAsia="en-GB"/>
        </w:rPr>
        <w:t xml:space="preserve"> allocation as set by the </w:t>
      </w:r>
      <w:r w:rsidR="00B26715" w:rsidRPr="00BF0561">
        <w:rPr>
          <w:rFonts w:eastAsia="Times New Roman"/>
          <w:bCs/>
          <w:lang w:eastAsia="en-GB"/>
        </w:rPr>
        <w:t>E</w:t>
      </w:r>
      <w:r w:rsidR="00AF61D1" w:rsidRPr="00BF0561">
        <w:rPr>
          <w:rFonts w:eastAsia="Times New Roman"/>
          <w:bCs/>
          <w:lang w:eastAsia="en-GB"/>
        </w:rPr>
        <w:t>SFA.</w:t>
      </w:r>
      <w:r w:rsidR="00623BDF" w:rsidRPr="00BF0561">
        <w:rPr>
          <w:rFonts w:eastAsia="Times New Roman"/>
          <w:bCs/>
          <w:lang w:eastAsia="en-GB"/>
        </w:rPr>
        <w:t xml:space="preserve">  </w:t>
      </w:r>
      <w:r w:rsidR="00985F59" w:rsidRPr="00BF0561">
        <w:rPr>
          <w:rFonts w:eastAsia="Times New Roman"/>
          <w:bCs/>
          <w:lang w:eastAsia="en-GB"/>
        </w:rPr>
        <w:t xml:space="preserve">Full eligibility criteria </w:t>
      </w:r>
      <w:proofErr w:type="gramStart"/>
      <w:r w:rsidR="00AF38C9" w:rsidRPr="00BF0561">
        <w:rPr>
          <w:rFonts w:eastAsia="Times New Roman"/>
          <w:bCs/>
          <w:lang w:eastAsia="en-GB"/>
        </w:rPr>
        <w:t>is</w:t>
      </w:r>
      <w:proofErr w:type="gramEnd"/>
      <w:r w:rsidR="00623BDF" w:rsidRPr="00BF0561">
        <w:rPr>
          <w:rFonts w:eastAsia="Times New Roman"/>
          <w:bCs/>
          <w:lang w:eastAsia="en-GB"/>
        </w:rPr>
        <w:t xml:space="preserve"> available on request.</w:t>
      </w:r>
    </w:p>
    <w:p w14:paraId="2C389E8E" w14:textId="77777777" w:rsidR="00AF61D1" w:rsidRPr="00BF0561" w:rsidRDefault="00AF61D1" w:rsidP="00DB3C81">
      <w:pPr>
        <w:pStyle w:val="ListParagraph"/>
        <w:spacing w:after="0" w:line="240" w:lineRule="auto"/>
        <w:ind w:left="731"/>
        <w:rPr>
          <w:rFonts w:eastAsia="Times New Roman"/>
          <w:bCs/>
          <w:lang w:eastAsia="en-GB"/>
        </w:rPr>
      </w:pPr>
    </w:p>
    <w:p w14:paraId="1327845B" w14:textId="77777777" w:rsidR="001E6488" w:rsidRDefault="00AF61D1" w:rsidP="00466C6B">
      <w:pPr>
        <w:pStyle w:val="ListParagraph"/>
        <w:numPr>
          <w:ilvl w:val="0"/>
          <w:numId w:val="1"/>
        </w:numPr>
        <w:spacing w:after="0" w:line="240" w:lineRule="auto"/>
        <w:jc w:val="both"/>
        <w:rPr>
          <w:rFonts w:eastAsia="Times New Roman"/>
          <w:bCs/>
          <w:lang w:eastAsia="en-GB"/>
        </w:rPr>
      </w:pPr>
      <w:r w:rsidRPr="00BF0561">
        <w:rPr>
          <w:rFonts w:eastAsia="Times New Roman"/>
          <w:bCs/>
          <w:lang w:eastAsia="en-GB"/>
        </w:rPr>
        <w:t xml:space="preserve">Learners who are eligible for </w:t>
      </w:r>
      <w:r w:rsidRPr="00BF0561">
        <w:rPr>
          <w:rFonts w:eastAsia="Times New Roman"/>
          <w:b/>
          <w:bCs/>
          <w:lang w:eastAsia="en-GB"/>
        </w:rPr>
        <w:t xml:space="preserve">co-funding </w:t>
      </w:r>
      <w:r w:rsidRPr="00BF0561">
        <w:rPr>
          <w:rFonts w:eastAsia="Times New Roman"/>
          <w:bCs/>
          <w:lang w:eastAsia="en-GB"/>
        </w:rPr>
        <w:t xml:space="preserve">as specified by the </w:t>
      </w:r>
      <w:r w:rsidR="00B26715" w:rsidRPr="00BF0561">
        <w:rPr>
          <w:rFonts w:eastAsia="Times New Roman"/>
          <w:bCs/>
          <w:lang w:eastAsia="en-GB"/>
        </w:rPr>
        <w:t>E</w:t>
      </w:r>
      <w:r w:rsidRPr="00BF0561">
        <w:rPr>
          <w:rFonts w:eastAsia="Times New Roman"/>
          <w:bCs/>
          <w:lang w:eastAsia="en-GB"/>
        </w:rPr>
        <w:t xml:space="preserve">SFA will be </w:t>
      </w:r>
      <w:r w:rsidR="009E7FC8" w:rsidRPr="00BF0561">
        <w:rPr>
          <w:rFonts w:eastAsia="Times New Roman"/>
          <w:bCs/>
          <w:lang w:eastAsia="en-GB"/>
        </w:rPr>
        <w:t xml:space="preserve">   </w:t>
      </w:r>
      <w:r w:rsidRPr="00BF0561">
        <w:rPr>
          <w:rFonts w:eastAsia="Times New Roman"/>
          <w:bCs/>
          <w:lang w:eastAsia="en-GB"/>
        </w:rPr>
        <w:t xml:space="preserve">funded </w:t>
      </w:r>
      <w:r w:rsidR="00FE7D29" w:rsidRPr="00BF0561">
        <w:rPr>
          <w:rFonts w:eastAsia="Times New Roman"/>
          <w:bCs/>
          <w:lang w:eastAsia="en-GB"/>
        </w:rPr>
        <w:t xml:space="preserve">at a </w:t>
      </w:r>
      <w:r w:rsidR="00EC0B32" w:rsidRPr="00BF0561">
        <w:rPr>
          <w:rFonts w:eastAsia="Times New Roman"/>
          <w:bCs/>
          <w:lang w:eastAsia="en-GB"/>
        </w:rPr>
        <w:t xml:space="preserve">rate of 50% with a maximum of the </w:t>
      </w:r>
      <w:r w:rsidR="00FE7D29" w:rsidRPr="00BF0561">
        <w:rPr>
          <w:rFonts w:eastAsia="Times New Roman"/>
          <w:bCs/>
          <w:lang w:eastAsia="en-GB"/>
        </w:rPr>
        <w:t xml:space="preserve">other 50% being paid by the learner or employer. </w:t>
      </w:r>
      <w:r w:rsidR="00EC0B32" w:rsidRPr="00BF0561">
        <w:rPr>
          <w:rFonts w:eastAsia="Times New Roman"/>
          <w:bCs/>
          <w:lang w:eastAsia="en-GB"/>
        </w:rPr>
        <w:t xml:space="preserve">At the discretion of </w:t>
      </w:r>
      <w:r w:rsidR="00C93320">
        <w:rPr>
          <w:rFonts w:eastAsia="Times New Roman"/>
          <w:bCs/>
          <w:lang w:eastAsia="en-GB"/>
        </w:rPr>
        <w:t>the college</w:t>
      </w:r>
      <w:r w:rsidR="00EC0B32" w:rsidRPr="00BF0561">
        <w:rPr>
          <w:rFonts w:eastAsia="Times New Roman"/>
          <w:bCs/>
          <w:lang w:eastAsia="en-GB"/>
        </w:rPr>
        <w:t>, some courses may be charged at less than 50% for the learner.</w:t>
      </w:r>
    </w:p>
    <w:p w14:paraId="6E0D5792" w14:textId="77777777" w:rsidR="001E6488" w:rsidRDefault="001E6488" w:rsidP="001E6488">
      <w:pPr>
        <w:pStyle w:val="ListParagraph"/>
        <w:spacing w:after="0" w:line="240" w:lineRule="auto"/>
        <w:jc w:val="both"/>
        <w:rPr>
          <w:rFonts w:eastAsia="Times New Roman"/>
          <w:bCs/>
          <w:lang w:eastAsia="en-GB"/>
        </w:rPr>
      </w:pPr>
    </w:p>
    <w:p w14:paraId="10E564F1" w14:textId="23DCDF71" w:rsidR="001E6488" w:rsidRPr="001E6488" w:rsidRDefault="001E6488" w:rsidP="5F03E608">
      <w:pPr>
        <w:pStyle w:val="ListParagraph"/>
        <w:numPr>
          <w:ilvl w:val="0"/>
          <w:numId w:val="1"/>
        </w:numPr>
        <w:spacing w:after="0" w:line="240" w:lineRule="auto"/>
        <w:jc w:val="both"/>
        <w:rPr>
          <w:rFonts w:eastAsia="Times New Roman"/>
          <w:lang w:eastAsia="en-GB"/>
        </w:rPr>
      </w:pPr>
      <w:r w:rsidRPr="5F03E608">
        <w:rPr>
          <w:rFonts w:eastAsia="Times New Roman"/>
          <w:lang w:eastAsia="en-GB"/>
        </w:rPr>
        <w:t xml:space="preserve">Learners who are employed or </w:t>
      </w:r>
      <w:r w:rsidR="001447CD" w:rsidRPr="5F03E608">
        <w:rPr>
          <w:rFonts w:eastAsia="Times New Roman"/>
          <w:lang w:eastAsia="en-GB"/>
        </w:rPr>
        <w:t>self-employed</w:t>
      </w:r>
      <w:r w:rsidR="001447CD">
        <w:rPr>
          <w:rFonts w:eastAsia="Times New Roman"/>
          <w:lang w:eastAsia="en-GB"/>
        </w:rPr>
        <w:t>,</w:t>
      </w:r>
      <w:r w:rsidR="001447CD" w:rsidRPr="5F03E608">
        <w:rPr>
          <w:rFonts w:eastAsia="Times New Roman"/>
          <w:lang w:eastAsia="en-GB"/>
        </w:rPr>
        <w:t xml:space="preserve"> and</w:t>
      </w:r>
      <w:r w:rsidRPr="5F03E608">
        <w:rPr>
          <w:rFonts w:eastAsia="Times New Roman"/>
          <w:lang w:eastAsia="en-GB"/>
        </w:rPr>
        <w:t xml:space="preserve"> would normally be co-funded studying a qualification up to and including level 2 may be eligible for full funding providing they earn less than £</w:t>
      </w:r>
      <w:r w:rsidR="001447CD">
        <w:rPr>
          <w:rFonts w:eastAsia="Times New Roman"/>
          <w:lang w:eastAsia="en-GB"/>
        </w:rPr>
        <w:t>25,000</w:t>
      </w:r>
      <w:r w:rsidRPr="5F03E608">
        <w:rPr>
          <w:rFonts w:eastAsia="Times New Roman"/>
          <w:lang w:eastAsia="en-GB"/>
        </w:rPr>
        <w:t xml:space="preserve"> annual gross salary.</w:t>
      </w:r>
    </w:p>
    <w:p w14:paraId="4B5E306A" w14:textId="77777777" w:rsidR="009E7FC8" w:rsidRPr="00BF0561" w:rsidRDefault="009E7FC8" w:rsidP="009E7FC8">
      <w:pPr>
        <w:pStyle w:val="ListParagraph"/>
        <w:spacing w:after="0" w:line="240" w:lineRule="auto"/>
        <w:jc w:val="both"/>
        <w:rPr>
          <w:rFonts w:eastAsia="Times New Roman"/>
          <w:bCs/>
          <w:lang w:eastAsia="en-GB"/>
        </w:rPr>
      </w:pPr>
    </w:p>
    <w:p w14:paraId="77743B8E" w14:textId="3B262989" w:rsidR="00277983" w:rsidRPr="00BF0561" w:rsidRDefault="00FE7D29" w:rsidP="00466C6B">
      <w:pPr>
        <w:pStyle w:val="ListParagraph"/>
        <w:numPr>
          <w:ilvl w:val="0"/>
          <w:numId w:val="1"/>
        </w:numPr>
        <w:spacing w:after="0" w:line="240" w:lineRule="auto"/>
        <w:jc w:val="both"/>
      </w:pPr>
      <w:r w:rsidRPr="00572A9A">
        <w:rPr>
          <w:rFonts w:eastAsia="Times New Roman"/>
          <w:bCs/>
          <w:lang w:eastAsia="en-GB"/>
        </w:rPr>
        <w:lastRenderedPageBreak/>
        <w:t xml:space="preserve">Learners who </w:t>
      </w:r>
      <w:r w:rsidR="00AF38C9" w:rsidRPr="00572A9A">
        <w:rPr>
          <w:rFonts w:eastAsia="Times New Roman"/>
          <w:bCs/>
          <w:lang w:eastAsia="en-GB"/>
        </w:rPr>
        <w:t xml:space="preserve">are not eligible for </w:t>
      </w:r>
      <w:r w:rsidRPr="00572A9A">
        <w:rPr>
          <w:rFonts w:eastAsia="Times New Roman"/>
          <w:b/>
          <w:bCs/>
          <w:lang w:eastAsia="en-GB"/>
        </w:rPr>
        <w:t>funding</w:t>
      </w:r>
      <w:r w:rsidR="00523F30" w:rsidRPr="00572A9A">
        <w:rPr>
          <w:rFonts w:eastAsia="Times New Roman"/>
          <w:b/>
          <w:bCs/>
          <w:lang w:eastAsia="en-GB"/>
        </w:rPr>
        <w:t xml:space="preserve"> or bursary</w:t>
      </w:r>
      <w:r w:rsidRPr="00572A9A">
        <w:rPr>
          <w:rFonts w:eastAsia="Times New Roman"/>
          <w:b/>
          <w:bCs/>
          <w:lang w:eastAsia="en-GB"/>
        </w:rPr>
        <w:t xml:space="preserve"> </w:t>
      </w:r>
      <w:r w:rsidR="00523F30" w:rsidRPr="00572A9A">
        <w:rPr>
          <w:rFonts w:eastAsia="Times New Roman"/>
          <w:bCs/>
          <w:lang w:eastAsia="en-GB"/>
        </w:rPr>
        <w:t>will pay the full course fee</w:t>
      </w:r>
      <w:r w:rsidRPr="00572A9A">
        <w:rPr>
          <w:rFonts w:eastAsia="Times New Roman"/>
          <w:bCs/>
          <w:lang w:eastAsia="en-GB"/>
        </w:rPr>
        <w:t xml:space="preserve">. In this instance </w:t>
      </w:r>
      <w:r w:rsidR="00C93320" w:rsidRPr="00572A9A">
        <w:rPr>
          <w:rFonts w:eastAsia="Times New Roman"/>
          <w:bCs/>
          <w:lang w:eastAsia="en-GB"/>
        </w:rPr>
        <w:t>the college</w:t>
      </w:r>
      <w:r w:rsidRPr="00572A9A">
        <w:rPr>
          <w:rFonts w:eastAsia="Times New Roman"/>
          <w:bCs/>
          <w:lang w:eastAsia="en-GB"/>
        </w:rPr>
        <w:t xml:space="preserve"> draws down no funding </w:t>
      </w:r>
      <w:r w:rsidR="00D438F1" w:rsidRPr="00572A9A">
        <w:rPr>
          <w:rFonts w:eastAsia="Times New Roman"/>
          <w:bCs/>
          <w:lang w:eastAsia="en-GB"/>
        </w:rPr>
        <w:t xml:space="preserve">from the </w:t>
      </w:r>
      <w:r w:rsidR="00B26715" w:rsidRPr="00572A9A">
        <w:rPr>
          <w:rFonts w:eastAsia="Times New Roman"/>
          <w:bCs/>
          <w:lang w:eastAsia="en-GB"/>
        </w:rPr>
        <w:t>E</w:t>
      </w:r>
      <w:r w:rsidR="00D438F1" w:rsidRPr="00572A9A">
        <w:rPr>
          <w:rFonts w:eastAsia="Times New Roman"/>
          <w:bCs/>
          <w:lang w:eastAsia="en-GB"/>
        </w:rPr>
        <w:t>SFA</w:t>
      </w:r>
      <w:r w:rsidR="00277983" w:rsidRPr="00572A9A">
        <w:rPr>
          <w:rFonts w:eastAsia="Times New Roman"/>
          <w:bCs/>
          <w:lang w:eastAsia="en-GB"/>
        </w:rPr>
        <w:t xml:space="preserve">. </w:t>
      </w:r>
    </w:p>
    <w:p w14:paraId="411DA9C0" w14:textId="77777777" w:rsidR="00FE7D29" w:rsidRPr="00BF0561" w:rsidRDefault="0079374C" w:rsidP="00E50A0B">
      <w:pPr>
        <w:spacing w:after="0" w:line="240" w:lineRule="auto"/>
        <w:jc w:val="both"/>
        <w:rPr>
          <w:rFonts w:eastAsia="Times New Roman"/>
          <w:bCs/>
          <w:lang w:eastAsia="en-GB"/>
        </w:rPr>
      </w:pPr>
      <w:r w:rsidRPr="00BF0561">
        <w:rPr>
          <w:rFonts w:eastAsia="Times New Roman"/>
          <w:bCs/>
          <w:lang w:eastAsia="en-GB"/>
        </w:rPr>
        <w:t xml:space="preserve"> </w:t>
      </w:r>
    </w:p>
    <w:p w14:paraId="2A060BA2" w14:textId="61CA6321" w:rsidR="00FF71F4" w:rsidRPr="00BF0561" w:rsidRDefault="00FF71F4" w:rsidP="00466C6B">
      <w:pPr>
        <w:pStyle w:val="ListParagraph"/>
        <w:numPr>
          <w:ilvl w:val="0"/>
          <w:numId w:val="1"/>
        </w:numPr>
        <w:spacing w:after="0" w:line="240" w:lineRule="auto"/>
        <w:jc w:val="both"/>
      </w:pPr>
      <w:r w:rsidRPr="00BF0561">
        <w:t>Accredited c</w:t>
      </w:r>
      <w:r w:rsidR="004D0A64" w:rsidRPr="00BF0561">
        <w:t>ourses</w:t>
      </w:r>
      <w:r w:rsidR="00A07773" w:rsidRPr="00BF0561">
        <w:t xml:space="preserve"> or learners</w:t>
      </w:r>
      <w:r w:rsidR="004D0A64" w:rsidRPr="00BF0561">
        <w:t xml:space="preserve"> that are n</w:t>
      </w:r>
      <w:r w:rsidR="009B33EF" w:rsidRPr="00BF0561">
        <w:t>ot eligible for any</w:t>
      </w:r>
      <w:r w:rsidR="00A07773" w:rsidRPr="00BF0561">
        <w:t xml:space="preserve"> public</w:t>
      </w:r>
      <w:r w:rsidR="009B33EF" w:rsidRPr="00BF0561">
        <w:t xml:space="preserve"> funding </w:t>
      </w:r>
      <w:r w:rsidR="004D0A64" w:rsidRPr="00BF0561">
        <w:t xml:space="preserve">will be charged a </w:t>
      </w:r>
      <w:r w:rsidR="00FF5569" w:rsidRPr="00BF0561">
        <w:t>cours</w:t>
      </w:r>
      <w:r w:rsidR="009E7FC8" w:rsidRPr="00BF0561">
        <w:t>e fee</w:t>
      </w:r>
      <w:r w:rsidR="001039E0">
        <w:t xml:space="preserve"> of </w:t>
      </w:r>
      <w:r w:rsidR="001039E0" w:rsidRPr="00B04744">
        <w:t>up to £15</w:t>
      </w:r>
      <w:r w:rsidR="00A07773" w:rsidRPr="00B04744">
        <w:t xml:space="preserve">.00 </w:t>
      </w:r>
      <w:r w:rsidR="00D72048" w:rsidRPr="00B04744">
        <w:t>per hour</w:t>
      </w:r>
      <w:r w:rsidR="00D72048" w:rsidRPr="00BF0561">
        <w:t xml:space="preserve"> plus </w:t>
      </w:r>
      <w:r w:rsidR="00461198" w:rsidRPr="00BF0561">
        <w:t xml:space="preserve">the cost of qualification </w:t>
      </w:r>
      <w:r w:rsidR="00D72048" w:rsidRPr="00BF0561">
        <w:t>accreditation</w:t>
      </w:r>
      <w:r w:rsidR="0060373C" w:rsidRPr="00BF0561">
        <w:t xml:space="preserve"> (exam fees)</w:t>
      </w:r>
      <w:r w:rsidR="00277983">
        <w:t>.</w:t>
      </w:r>
      <w:r w:rsidR="00D72048" w:rsidRPr="00BF0561">
        <w:t xml:space="preserve"> We reserve the right to amend fees to reflect market rates</w:t>
      </w:r>
      <w:r w:rsidR="00461198" w:rsidRPr="00BF0561">
        <w:t xml:space="preserve"> on courses</w:t>
      </w:r>
      <w:r w:rsidR="00A07773" w:rsidRPr="00BF0561">
        <w:t xml:space="preserve"> for learners</w:t>
      </w:r>
      <w:r w:rsidR="00461198" w:rsidRPr="00BF0561">
        <w:t xml:space="preserve"> that are not eligible for funding</w:t>
      </w:r>
      <w:r w:rsidR="00E50A0B" w:rsidRPr="00BF0561">
        <w:t>.</w:t>
      </w:r>
    </w:p>
    <w:p w14:paraId="44F91A5F" w14:textId="77777777" w:rsidR="00E50A0B" w:rsidRPr="00BF0561" w:rsidRDefault="00E50A0B" w:rsidP="0010681D">
      <w:pPr>
        <w:spacing w:after="0" w:line="240" w:lineRule="auto"/>
        <w:jc w:val="both"/>
        <w:rPr>
          <w:rFonts w:eastAsia="Times New Roman"/>
          <w:bCs/>
          <w:lang w:eastAsia="en-GB"/>
        </w:rPr>
      </w:pPr>
    </w:p>
    <w:p w14:paraId="23758428" w14:textId="0CEAFF74" w:rsidR="002D5ABC" w:rsidRPr="00572A9A" w:rsidRDefault="00C93320" w:rsidP="00466C6B">
      <w:pPr>
        <w:pStyle w:val="ListParagraph"/>
        <w:numPr>
          <w:ilvl w:val="0"/>
          <w:numId w:val="1"/>
        </w:numPr>
        <w:spacing w:after="0" w:line="240" w:lineRule="auto"/>
        <w:jc w:val="both"/>
        <w:rPr>
          <w:rFonts w:eastAsia="Times New Roman"/>
          <w:bCs/>
          <w:lang w:eastAsia="en-GB"/>
        </w:rPr>
      </w:pPr>
      <w:r w:rsidRPr="00572A9A">
        <w:rPr>
          <w:rFonts w:eastAsia="Times New Roman"/>
          <w:bCs/>
          <w:lang w:eastAsia="en-GB"/>
        </w:rPr>
        <w:t>The college</w:t>
      </w:r>
      <w:r w:rsidR="00277983" w:rsidRPr="00572A9A">
        <w:rPr>
          <w:rFonts w:eastAsia="Times New Roman"/>
          <w:bCs/>
          <w:lang w:eastAsia="en-GB"/>
        </w:rPr>
        <w:t xml:space="preserve"> will provide</w:t>
      </w:r>
      <w:r w:rsidR="00866433" w:rsidRPr="00572A9A">
        <w:rPr>
          <w:rFonts w:eastAsia="Times New Roman"/>
          <w:bCs/>
          <w:lang w:eastAsia="en-GB"/>
        </w:rPr>
        <w:t xml:space="preserve"> financial assistance from a </w:t>
      </w:r>
      <w:r w:rsidR="0005463F" w:rsidRPr="00572A9A">
        <w:rPr>
          <w:rFonts w:eastAsia="Times New Roman"/>
          <w:bCs/>
          <w:lang w:eastAsia="en-GB"/>
        </w:rPr>
        <w:t xml:space="preserve">Discretionary Learning Support Fund </w:t>
      </w:r>
      <w:r w:rsidR="00F97301" w:rsidRPr="00572A9A">
        <w:rPr>
          <w:rFonts w:eastAsia="Times New Roman"/>
          <w:bCs/>
          <w:lang w:eastAsia="en-GB"/>
        </w:rPr>
        <w:t xml:space="preserve">(for those aged 19+) </w:t>
      </w:r>
      <w:r w:rsidR="0005463F" w:rsidRPr="00572A9A">
        <w:rPr>
          <w:rFonts w:eastAsia="Times New Roman"/>
          <w:bCs/>
          <w:lang w:eastAsia="en-GB"/>
        </w:rPr>
        <w:t xml:space="preserve">to assist with cases of hardship related to, </w:t>
      </w:r>
      <w:r w:rsidR="00F97301" w:rsidRPr="00572A9A">
        <w:rPr>
          <w:rFonts w:eastAsia="Times New Roman"/>
          <w:bCs/>
          <w:lang w:eastAsia="en-GB"/>
        </w:rPr>
        <w:t xml:space="preserve">for example, </w:t>
      </w:r>
      <w:r w:rsidR="0005463F" w:rsidRPr="00572A9A">
        <w:rPr>
          <w:rFonts w:eastAsia="Times New Roman"/>
          <w:bCs/>
          <w:lang w:eastAsia="en-GB"/>
        </w:rPr>
        <w:t>childcare</w:t>
      </w:r>
      <w:r w:rsidR="00F01D4A" w:rsidRPr="00572A9A">
        <w:rPr>
          <w:rFonts w:eastAsia="Times New Roman"/>
          <w:bCs/>
          <w:lang w:eastAsia="en-GB"/>
        </w:rPr>
        <w:t xml:space="preserve"> (for those aged 20+) and transport, according to </w:t>
      </w:r>
      <w:r w:rsidR="00985F59" w:rsidRPr="00572A9A">
        <w:rPr>
          <w:rFonts w:eastAsia="Times New Roman"/>
          <w:bCs/>
          <w:lang w:eastAsia="en-GB"/>
        </w:rPr>
        <w:t>E</w:t>
      </w:r>
      <w:r w:rsidR="00F01D4A" w:rsidRPr="00572A9A">
        <w:rPr>
          <w:rFonts w:eastAsia="Times New Roman"/>
          <w:bCs/>
          <w:lang w:eastAsia="en-GB"/>
        </w:rPr>
        <w:t>S</w:t>
      </w:r>
      <w:r w:rsidR="00193FF0" w:rsidRPr="00572A9A">
        <w:rPr>
          <w:rFonts w:eastAsia="Times New Roman"/>
          <w:bCs/>
          <w:lang w:eastAsia="en-GB"/>
        </w:rPr>
        <w:t>F</w:t>
      </w:r>
      <w:r w:rsidR="00F01D4A" w:rsidRPr="00572A9A">
        <w:rPr>
          <w:rFonts w:eastAsia="Times New Roman"/>
          <w:bCs/>
          <w:lang w:eastAsia="en-GB"/>
        </w:rPr>
        <w:t>A regulations.</w:t>
      </w:r>
    </w:p>
    <w:p w14:paraId="6E5BBD9B" w14:textId="77777777" w:rsidR="00D72048" w:rsidRDefault="00D72048" w:rsidP="0010681D">
      <w:pPr>
        <w:spacing w:after="0" w:line="240" w:lineRule="auto"/>
        <w:jc w:val="both"/>
        <w:rPr>
          <w:rFonts w:eastAsia="Times New Roman"/>
          <w:bCs/>
          <w:lang w:eastAsia="en-GB"/>
        </w:rPr>
      </w:pPr>
    </w:p>
    <w:p w14:paraId="7B6FE44A" w14:textId="77777777" w:rsidR="0062694A" w:rsidRPr="00BF0561" w:rsidRDefault="0062694A" w:rsidP="004C1D44">
      <w:pPr>
        <w:spacing w:after="0" w:line="240" w:lineRule="auto"/>
        <w:rPr>
          <w:rFonts w:eastAsia="Times New Roman"/>
          <w:lang w:eastAsia="en-GB"/>
        </w:rPr>
      </w:pPr>
    </w:p>
    <w:p w14:paraId="0E95E11F" w14:textId="07E13D99" w:rsidR="0062694A" w:rsidRPr="00BF0561" w:rsidRDefault="00572A9A" w:rsidP="002620C4">
      <w:pPr>
        <w:spacing w:after="0" w:line="240" w:lineRule="auto"/>
        <w:rPr>
          <w:rFonts w:eastAsia="Times New Roman"/>
          <w:b/>
          <w:lang w:eastAsia="en-GB"/>
        </w:rPr>
      </w:pPr>
      <w:r>
        <w:rPr>
          <w:rFonts w:eastAsia="Times New Roman"/>
          <w:b/>
          <w:lang w:eastAsia="en-GB"/>
        </w:rPr>
        <w:t>2.</w:t>
      </w:r>
      <w:r w:rsidR="003D6E61" w:rsidRPr="00BF0561">
        <w:rPr>
          <w:rFonts w:eastAsia="Times New Roman"/>
          <w:b/>
          <w:lang w:eastAsia="en-GB"/>
        </w:rPr>
        <w:t xml:space="preserve">Accredited courses </w:t>
      </w:r>
      <w:r w:rsidR="00371B5E" w:rsidRPr="00BF0561">
        <w:rPr>
          <w:rFonts w:eastAsia="Times New Roman"/>
          <w:b/>
          <w:lang w:eastAsia="en-GB"/>
        </w:rPr>
        <w:t xml:space="preserve">(those leading to a qualification) </w:t>
      </w:r>
      <w:r w:rsidR="003D6E61" w:rsidRPr="00BF0561">
        <w:rPr>
          <w:rFonts w:eastAsia="Times New Roman"/>
          <w:b/>
          <w:lang w:eastAsia="en-GB"/>
        </w:rPr>
        <w:t xml:space="preserve">at </w:t>
      </w:r>
      <w:r w:rsidR="0062694A" w:rsidRPr="00BF0561">
        <w:rPr>
          <w:rFonts w:eastAsia="Times New Roman"/>
          <w:b/>
          <w:lang w:eastAsia="en-GB"/>
        </w:rPr>
        <w:t>Level 3 and above</w:t>
      </w:r>
      <w:r w:rsidR="003D6E61" w:rsidRPr="00BF0561">
        <w:rPr>
          <w:rFonts w:eastAsia="Times New Roman"/>
          <w:b/>
          <w:lang w:eastAsia="en-GB"/>
        </w:rPr>
        <w:t>.</w:t>
      </w:r>
    </w:p>
    <w:p w14:paraId="26EA2E04" w14:textId="77777777" w:rsidR="002620C4" w:rsidRPr="00BF0561" w:rsidRDefault="002620C4" w:rsidP="002620C4">
      <w:pPr>
        <w:spacing w:after="0" w:line="240" w:lineRule="auto"/>
        <w:rPr>
          <w:rFonts w:eastAsia="Times New Roman"/>
          <w:b/>
          <w:lang w:eastAsia="en-GB"/>
        </w:rPr>
      </w:pPr>
    </w:p>
    <w:p w14:paraId="00F41B6F" w14:textId="77777777" w:rsidR="000B5275" w:rsidRPr="000B5275" w:rsidRDefault="000B5275" w:rsidP="001E5B60">
      <w:pPr>
        <w:spacing w:after="0" w:line="240" w:lineRule="auto"/>
        <w:jc w:val="both"/>
        <w:rPr>
          <w:rFonts w:eastAsia="Times New Roman"/>
          <w:lang w:eastAsia="en-GB"/>
        </w:rPr>
      </w:pPr>
      <w:r w:rsidRPr="000B5275">
        <w:rPr>
          <w:rFonts w:eastAsia="Times New Roman"/>
          <w:lang w:eastAsia="en-GB"/>
        </w:rPr>
        <w:t xml:space="preserve">Many level 3 qualifications now form part of a legal entitlement for learners who do not already have a full level 3 qualification. Courses will be free if these conditions are met. </w:t>
      </w:r>
    </w:p>
    <w:p w14:paraId="2FCD2BD8" w14:textId="77777777" w:rsidR="000B5275" w:rsidRPr="000B5275" w:rsidRDefault="000B5275" w:rsidP="001E5B60">
      <w:pPr>
        <w:spacing w:after="0" w:line="240" w:lineRule="auto"/>
        <w:jc w:val="both"/>
        <w:rPr>
          <w:rFonts w:eastAsia="Times New Roman"/>
          <w:lang w:eastAsia="en-GB"/>
        </w:rPr>
      </w:pPr>
    </w:p>
    <w:p w14:paraId="45DFB80E" w14:textId="32A6BECC" w:rsidR="001E5B60" w:rsidRPr="000B5275" w:rsidRDefault="000B5275" w:rsidP="00466C6B">
      <w:pPr>
        <w:pStyle w:val="ListParagraph"/>
        <w:numPr>
          <w:ilvl w:val="0"/>
          <w:numId w:val="12"/>
        </w:numPr>
        <w:spacing w:after="0" w:line="240" w:lineRule="auto"/>
        <w:jc w:val="both"/>
      </w:pPr>
      <w:r w:rsidRPr="00572A9A">
        <w:rPr>
          <w:rFonts w:eastAsia="Times New Roman"/>
          <w:lang w:eastAsia="en-GB"/>
        </w:rPr>
        <w:t>Where qualifications are not on the legal entitlement list or a learner already holds a full level 3 qualification, f</w:t>
      </w:r>
      <w:r w:rsidR="002620C4" w:rsidRPr="00572A9A">
        <w:rPr>
          <w:rFonts w:eastAsia="Times New Roman"/>
          <w:lang w:eastAsia="en-GB"/>
        </w:rPr>
        <w:t xml:space="preserve">ees will </w:t>
      </w:r>
      <w:r w:rsidR="000137D0" w:rsidRPr="00572A9A">
        <w:rPr>
          <w:rFonts w:eastAsia="Times New Roman"/>
          <w:lang w:eastAsia="en-GB"/>
        </w:rPr>
        <w:t xml:space="preserve">be </w:t>
      </w:r>
      <w:r w:rsidR="002620C4" w:rsidRPr="00572A9A">
        <w:rPr>
          <w:rFonts w:eastAsia="Times New Roman"/>
          <w:lang w:eastAsia="en-GB"/>
        </w:rPr>
        <w:t xml:space="preserve">set at funding rates advised by the </w:t>
      </w:r>
      <w:r w:rsidR="00B26715" w:rsidRPr="00572A9A">
        <w:rPr>
          <w:rFonts w:eastAsia="Times New Roman"/>
          <w:lang w:eastAsia="en-GB"/>
        </w:rPr>
        <w:t>E</w:t>
      </w:r>
      <w:r w:rsidR="002620C4" w:rsidRPr="00572A9A">
        <w:rPr>
          <w:rFonts w:eastAsia="Times New Roman"/>
          <w:lang w:eastAsia="en-GB"/>
        </w:rPr>
        <w:t xml:space="preserve">SFA. We reserve the right to set some fees lower than </w:t>
      </w:r>
      <w:r w:rsidR="00985F59" w:rsidRPr="00572A9A">
        <w:rPr>
          <w:rFonts w:eastAsia="Times New Roman"/>
          <w:lang w:eastAsia="en-GB"/>
        </w:rPr>
        <w:t>ESFA published</w:t>
      </w:r>
      <w:r w:rsidR="002620C4" w:rsidRPr="00572A9A">
        <w:rPr>
          <w:rFonts w:eastAsia="Times New Roman"/>
          <w:lang w:eastAsia="en-GB"/>
        </w:rPr>
        <w:t xml:space="preserve"> rates to </w:t>
      </w:r>
      <w:proofErr w:type="gramStart"/>
      <w:r w:rsidR="002620C4" w:rsidRPr="00572A9A">
        <w:rPr>
          <w:rFonts w:eastAsia="Times New Roman"/>
          <w:lang w:eastAsia="en-GB"/>
        </w:rPr>
        <w:t>take into account</w:t>
      </w:r>
      <w:proofErr w:type="gramEnd"/>
      <w:r w:rsidR="002620C4" w:rsidRPr="00572A9A">
        <w:rPr>
          <w:rFonts w:eastAsia="Times New Roman"/>
          <w:lang w:eastAsia="en-GB"/>
        </w:rPr>
        <w:t xml:space="preserve"> local market conditions. </w:t>
      </w:r>
      <w:r w:rsidR="00E74A27">
        <w:t>L</w:t>
      </w:r>
      <w:r w:rsidR="001E5B60" w:rsidRPr="000B5275">
        <w:t>earners may also qualify for the following dependant on the course and level:</w:t>
      </w:r>
    </w:p>
    <w:p w14:paraId="32A4CAED" w14:textId="77777777" w:rsidR="001E5B60" w:rsidRPr="000B5275" w:rsidRDefault="001E5B60" w:rsidP="00466C6B">
      <w:pPr>
        <w:pStyle w:val="ListParagraph"/>
        <w:numPr>
          <w:ilvl w:val="0"/>
          <w:numId w:val="9"/>
        </w:numPr>
        <w:spacing w:after="0" w:line="240" w:lineRule="auto"/>
        <w:jc w:val="both"/>
      </w:pPr>
      <w:r w:rsidRPr="000B5275">
        <w:t>Advanced Learner Loan</w:t>
      </w:r>
    </w:p>
    <w:p w14:paraId="7709B7C4" w14:textId="77777777" w:rsidR="001E5B60" w:rsidRPr="000B5275" w:rsidRDefault="001E5B60" w:rsidP="00466C6B">
      <w:pPr>
        <w:pStyle w:val="ListParagraph"/>
        <w:numPr>
          <w:ilvl w:val="0"/>
          <w:numId w:val="9"/>
        </w:numPr>
        <w:spacing w:after="0" w:line="240" w:lineRule="auto"/>
        <w:jc w:val="both"/>
      </w:pPr>
      <w:r w:rsidRPr="000B5275">
        <w:t>The lifelong loan entitlement</w:t>
      </w:r>
      <w:r w:rsidR="00C84171">
        <w:t xml:space="preserve"> </w:t>
      </w:r>
      <w:r w:rsidR="00C84171" w:rsidRPr="00B04744">
        <w:t>(</w:t>
      </w:r>
      <w:r w:rsidR="000B5275" w:rsidRPr="00B04744">
        <w:t>not currently available</w:t>
      </w:r>
      <w:r w:rsidR="00C84171" w:rsidRPr="00B04744">
        <w:t xml:space="preserve"> – Mar 2023)</w:t>
      </w:r>
      <w:r w:rsidR="000B5275" w:rsidRPr="00B04744">
        <w:t>.</w:t>
      </w:r>
    </w:p>
    <w:p w14:paraId="4ADBD9F5" w14:textId="77777777" w:rsidR="00810266" w:rsidRDefault="00810266" w:rsidP="00810266">
      <w:pPr>
        <w:spacing w:after="0" w:line="240" w:lineRule="auto"/>
        <w:jc w:val="both"/>
      </w:pPr>
    </w:p>
    <w:p w14:paraId="6F455A4D" w14:textId="53048A70" w:rsidR="00810266" w:rsidRPr="00BF0561" w:rsidRDefault="001E6488" w:rsidP="00466C6B">
      <w:pPr>
        <w:pStyle w:val="ListParagraph"/>
        <w:numPr>
          <w:ilvl w:val="0"/>
          <w:numId w:val="12"/>
        </w:numPr>
      </w:pPr>
      <w:r>
        <w:t xml:space="preserve">Some qualifications are eligible for an Advanced Learner Loans - </w:t>
      </w:r>
      <w:r w:rsidR="00810266" w:rsidRPr="00BF0561">
        <w:t xml:space="preserve">Learning loans are available for learners aged 19 and over, wishing to study at Level 3 or above. </w:t>
      </w:r>
    </w:p>
    <w:p w14:paraId="52A6350E" w14:textId="2D568924" w:rsidR="00810266" w:rsidRPr="00BF0561" w:rsidRDefault="00810266" w:rsidP="00466C6B">
      <w:pPr>
        <w:pStyle w:val="ListParagraph"/>
        <w:numPr>
          <w:ilvl w:val="0"/>
          <w:numId w:val="13"/>
        </w:numPr>
      </w:pPr>
      <w:r w:rsidRPr="00BF0561">
        <w:t>Household income is</w:t>
      </w:r>
      <w:r w:rsidR="00572A9A">
        <w:t xml:space="preserve"> </w:t>
      </w:r>
      <w:r w:rsidRPr="00BF0561">
        <w:t>n</w:t>
      </w:r>
      <w:r w:rsidR="00572A9A">
        <w:t>ot</w:t>
      </w:r>
      <w:r w:rsidRPr="00BF0561">
        <w:t xml:space="preserve"> </w:t>
      </w:r>
      <w:proofErr w:type="gramStart"/>
      <w:r w:rsidRPr="00BF0561">
        <w:t>taken into account</w:t>
      </w:r>
      <w:proofErr w:type="gramEnd"/>
      <w:r w:rsidRPr="00BF0561">
        <w:t xml:space="preserve"> and there is no credit check involved. </w:t>
      </w:r>
    </w:p>
    <w:p w14:paraId="4D4E484E" w14:textId="251E2E86" w:rsidR="001D3DCA" w:rsidRDefault="00810266" w:rsidP="00466C6B">
      <w:pPr>
        <w:pStyle w:val="ListParagraph"/>
        <w:numPr>
          <w:ilvl w:val="0"/>
          <w:numId w:val="12"/>
        </w:numPr>
      </w:pPr>
      <w:r w:rsidRPr="00BF0561">
        <w:t xml:space="preserve">Learners will not have to pay anything back until they are earning over </w:t>
      </w:r>
      <w:r w:rsidRPr="009747B7">
        <w:t>£</w:t>
      </w:r>
      <w:r w:rsidR="009747B7" w:rsidRPr="009747B7">
        <w:t xml:space="preserve">25,000 </w:t>
      </w:r>
      <w:r w:rsidR="001D3DCA">
        <w:t xml:space="preserve">a year effective from </w:t>
      </w:r>
      <w:r w:rsidR="009747B7">
        <w:t>1</w:t>
      </w:r>
      <w:r w:rsidR="001D3DCA">
        <w:t xml:space="preserve"> </w:t>
      </w:r>
      <w:r w:rsidR="009747B7">
        <w:t xml:space="preserve">August </w:t>
      </w:r>
      <w:r w:rsidR="001D3DCA">
        <w:t>202</w:t>
      </w:r>
      <w:r w:rsidR="009747B7">
        <w:t>3</w:t>
      </w:r>
      <w:r w:rsidR="001D3DCA">
        <w:t>.</w:t>
      </w:r>
    </w:p>
    <w:p w14:paraId="4F38B998" w14:textId="77777777" w:rsidR="00810266" w:rsidRPr="00BF0561" w:rsidRDefault="00810266" w:rsidP="00466C6B">
      <w:pPr>
        <w:pStyle w:val="ListParagraph"/>
        <w:numPr>
          <w:ilvl w:val="0"/>
          <w:numId w:val="13"/>
        </w:numPr>
      </w:pPr>
      <w:r w:rsidRPr="00BF0561">
        <w:t>Learners must have lived in the UK for a minimum of 3 years to apply.</w:t>
      </w:r>
    </w:p>
    <w:p w14:paraId="41A129F8" w14:textId="13077747" w:rsidR="000B5275" w:rsidRDefault="00810266" w:rsidP="004C1D44">
      <w:pPr>
        <w:spacing w:after="0" w:line="240" w:lineRule="auto"/>
      </w:pPr>
      <w:r>
        <w:t xml:space="preserve">Learning loans are the learner’s </w:t>
      </w:r>
      <w:r w:rsidR="19F02876">
        <w:t>responsibility,</w:t>
      </w:r>
      <w:r>
        <w:t xml:space="preserve"> and should you withdraw from your course two weeks or more after the start date, you will be liable for paying any outstanding fees to the college and for the repayment of your loan.</w:t>
      </w:r>
    </w:p>
    <w:p w14:paraId="408BAE53" w14:textId="70F531C0" w:rsidR="00C93320" w:rsidRPr="000B5275" w:rsidRDefault="00C93320" w:rsidP="5F03E608">
      <w:pPr>
        <w:spacing w:after="0" w:line="240" w:lineRule="auto"/>
        <w:rPr>
          <w:rFonts w:eastAsia="Times New Roman"/>
          <w:b/>
          <w:bCs/>
          <w:lang w:eastAsia="en-GB"/>
        </w:rPr>
      </w:pPr>
    </w:p>
    <w:p w14:paraId="49AB719B" w14:textId="4BD392F6" w:rsidR="00591561" w:rsidRPr="000B5275" w:rsidRDefault="00572A9A" w:rsidP="00591561">
      <w:pPr>
        <w:spacing w:after="0" w:line="240" w:lineRule="auto"/>
        <w:rPr>
          <w:rFonts w:eastAsia="Times New Roman"/>
          <w:b/>
          <w:lang w:eastAsia="en-GB"/>
        </w:rPr>
      </w:pPr>
      <w:r>
        <w:rPr>
          <w:rFonts w:eastAsia="Times New Roman"/>
          <w:b/>
          <w:lang w:eastAsia="en-GB"/>
        </w:rPr>
        <w:t>3.</w:t>
      </w:r>
      <w:r w:rsidR="000B5275" w:rsidRPr="000B5275">
        <w:rPr>
          <w:rFonts w:eastAsia="Times New Roman"/>
          <w:b/>
          <w:lang w:eastAsia="en-GB"/>
        </w:rPr>
        <w:t>SEN Programmes</w:t>
      </w:r>
    </w:p>
    <w:p w14:paraId="51321DC6" w14:textId="77777777" w:rsidR="00591561" w:rsidRPr="001E5B60" w:rsidRDefault="00591561" w:rsidP="00591561">
      <w:pPr>
        <w:spacing w:after="0" w:line="240" w:lineRule="auto"/>
        <w:rPr>
          <w:rFonts w:eastAsia="Times New Roman"/>
          <w:highlight w:val="yellow"/>
          <w:lang w:eastAsia="en-GB"/>
        </w:rPr>
      </w:pPr>
    </w:p>
    <w:p w14:paraId="2FA304A2" w14:textId="219CF9AC" w:rsidR="000B5275" w:rsidRPr="00534229" w:rsidRDefault="00591561" w:rsidP="00466C6B">
      <w:pPr>
        <w:pStyle w:val="ListParagraph"/>
        <w:numPr>
          <w:ilvl w:val="0"/>
          <w:numId w:val="14"/>
        </w:numPr>
        <w:spacing w:after="0" w:line="240" w:lineRule="auto"/>
        <w:rPr>
          <w:rFonts w:eastAsia="Times New Roman"/>
          <w:lang w:eastAsia="en-GB"/>
        </w:rPr>
      </w:pPr>
      <w:r w:rsidRPr="000B5275">
        <w:rPr>
          <w:rFonts w:eastAsia="Times New Roman"/>
          <w:lang w:eastAsia="en-GB"/>
        </w:rPr>
        <w:t>Made up of small discrete classes for adults with learning disabilities which lead to the achievement of</w:t>
      </w:r>
      <w:r w:rsidR="000B5275" w:rsidRPr="000B5275">
        <w:rPr>
          <w:rFonts w:eastAsia="Times New Roman"/>
          <w:lang w:eastAsia="en-GB"/>
        </w:rPr>
        <w:t xml:space="preserve"> employability and</w:t>
      </w:r>
      <w:r w:rsidRPr="000B5275">
        <w:rPr>
          <w:rFonts w:eastAsia="Times New Roman"/>
          <w:lang w:eastAsia="en-GB"/>
        </w:rPr>
        <w:t xml:space="preserve"> personal goals. </w:t>
      </w:r>
    </w:p>
    <w:p w14:paraId="56719398" w14:textId="18BB71D1" w:rsidR="00A03EBF" w:rsidRPr="00534229" w:rsidRDefault="000B5275" w:rsidP="00466C6B">
      <w:pPr>
        <w:pStyle w:val="ListParagraph"/>
        <w:numPr>
          <w:ilvl w:val="0"/>
          <w:numId w:val="14"/>
        </w:numPr>
        <w:spacing w:after="0" w:line="240" w:lineRule="auto"/>
        <w:rPr>
          <w:rFonts w:eastAsia="Times New Roman"/>
          <w:lang w:eastAsia="en-GB"/>
        </w:rPr>
      </w:pPr>
      <w:r w:rsidRPr="00E74A27">
        <w:rPr>
          <w:rFonts w:eastAsia="Times New Roman"/>
          <w:lang w:eastAsia="en-GB"/>
        </w:rPr>
        <w:t>Provision is delivered in main centres and within the community</w:t>
      </w:r>
      <w:r w:rsidR="00E74A27">
        <w:rPr>
          <w:rFonts w:eastAsia="Times New Roman"/>
          <w:lang w:eastAsia="en-GB"/>
        </w:rPr>
        <w:t>.</w:t>
      </w:r>
    </w:p>
    <w:p w14:paraId="32BF5E02" w14:textId="14F6E5D4" w:rsidR="000B5275" w:rsidRPr="000B5275" w:rsidRDefault="000B5275" w:rsidP="00534229">
      <w:pPr>
        <w:pStyle w:val="ListParagraph"/>
        <w:spacing w:after="0" w:line="240" w:lineRule="auto"/>
        <w:ind w:left="1080"/>
        <w:rPr>
          <w:rFonts w:eastAsia="Times New Roman"/>
          <w:lang w:eastAsia="en-GB"/>
        </w:rPr>
      </w:pPr>
      <w:r>
        <w:rPr>
          <w:rFonts w:eastAsia="Times New Roman"/>
          <w:lang w:eastAsia="en-GB"/>
        </w:rPr>
        <w:t>The</w:t>
      </w:r>
      <w:r w:rsidR="001039E0">
        <w:rPr>
          <w:rFonts w:eastAsia="Times New Roman"/>
          <w:lang w:eastAsia="en-GB"/>
        </w:rPr>
        <w:t>se</w:t>
      </w:r>
      <w:r>
        <w:rPr>
          <w:rFonts w:eastAsia="Times New Roman"/>
          <w:lang w:eastAsia="en-GB"/>
        </w:rPr>
        <w:t xml:space="preserve"> courses fully funded by the ESFA with no chargeable fee to the learner</w:t>
      </w:r>
      <w:r w:rsidR="00C84171">
        <w:rPr>
          <w:rFonts w:eastAsia="Times New Roman"/>
          <w:lang w:eastAsia="en-GB"/>
        </w:rPr>
        <w:t>.</w:t>
      </w:r>
    </w:p>
    <w:p w14:paraId="728639FB" w14:textId="00EA61AA" w:rsidR="000B5275" w:rsidRPr="001039E0" w:rsidRDefault="000B5275" w:rsidP="00466C6B">
      <w:pPr>
        <w:pStyle w:val="ListParagraph"/>
        <w:numPr>
          <w:ilvl w:val="0"/>
          <w:numId w:val="14"/>
        </w:numPr>
        <w:spacing w:after="0" w:line="240" w:lineRule="auto"/>
        <w:rPr>
          <w:rFonts w:eastAsia="Times New Roman"/>
          <w:lang w:eastAsia="en-GB"/>
        </w:rPr>
      </w:pPr>
      <w:r w:rsidRPr="5F03E608">
        <w:rPr>
          <w:rFonts w:eastAsia="Times New Roman"/>
          <w:lang w:eastAsia="en-GB"/>
        </w:rPr>
        <w:lastRenderedPageBreak/>
        <w:t>SEN Programmes</w:t>
      </w:r>
      <w:r w:rsidR="001039E0" w:rsidRPr="5F03E608">
        <w:rPr>
          <w:rFonts w:eastAsia="Times New Roman"/>
          <w:lang w:eastAsia="en-GB"/>
        </w:rPr>
        <w:t xml:space="preserve"> with recreational focus </w:t>
      </w:r>
      <w:r w:rsidR="001E6488" w:rsidRPr="5F03E608">
        <w:rPr>
          <w:rFonts w:eastAsia="Times New Roman"/>
          <w:lang w:eastAsia="en-GB"/>
        </w:rPr>
        <w:t>will be charged at</w:t>
      </w:r>
      <w:r w:rsidR="001E6488" w:rsidRPr="5F03E608">
        <w:rPr>
          <w:rFonts w:eastAsia="Times New Roman"/>
          <w:color w:val="FF0000"/>
          <w:lang w:eastAsia="en-GB"/>
        </w:rPr>
        <w:t xml:space="preserve"> </w:t>
      </w:r>
      <w:r w:rsidR="001E6488" w:rsidRPr="5F03E608">
        <w:rPr>
          <w:rFonts w:eastAsia="Times New Roman"/>
          <w:lang w:eastAsia="en-GB"/>
        </w:rPr>
        <w:t xml:space="preserve">an hourly rate of between </w:t>
      </w:r>
      <w:r w:rsidR="001E6488" w:rsidRPr="5F03E608">
        <w:rPr>
          <w:rFonts w:eastAsia="Times New Roman"/>
          <w:b/>
          <w:bCs/>
          <w:lang w:eastAsia="en-GB"/>
        </w:rPr>
        <w:t>£</w:t>
      </w:r>
      <w:r w:rsidR="001316CD" w:rsidRPr="5F03E608">
        <w:rPr>
          <w:rFonts w:eastAsia="Times New Roman"/>
          <w:b/>
          <w:bCs/>
          <w:lang w:eastAsia="en-GB"/>
        </w:rPr>
        <w:t>1</w:t>
      </w:r>
      <w:r w:rsidR="14EA6687" w:rsidRPr="5F03E608">
        <w:rPr>
          <w:rFonts w:eastAsia="Times New Roman"/>
          <w:b/>
          <w:bCs/>
          <w:lang w:eastAsia="en-GB"/>
        </w:rPr>
        <w:t>5</w:t>
      </w:r>
      <w:r w:rsidR="1841E702" w:rsidRPr="5F03E608">
        <w:rPr>
          <w:rFonts w:eastAsia="Times New Roman"/>
          <w:b/>
          <w:bCs/>
          <w:lang w:eastAsia="en-GB"/>
        </w:rPr>
        <w:t>.</w:t>
      </w:r>
      <w:r w:rsidR="001E6488" w:rsidRPr="5F03E608">
        <w:rPr>
          <w:rFonts w:eastAsia="Times New Roman"/>
          <w:b/>
          <w:bCs/>
          <w:lang w:eastAsia="en-GB"/>
        </w:rPr>
        <w:t>00</w:t>
      </w:r>
      <w:r w:rsidR="001E6488" w:rsidRPr="5F03E608">
        <w:rPr>
          <w:rFonts w:eastAsia="Times New Roman"/>
          <w:lang w:eastAsia="en-GB"/>
        </w:rPr>
        <w:t xml:space="preserve"> and </w:t>
      </w:r>
      <w:r w:rsidR="001E6488" w:rsidRPr="5F03E608">
        <w:rPr>
          <w:rFonts w:eastAsia="Times New Roman"/>
          <w:b/>
          <w:bCs/>
          <w:lang w:eastAsia="en-GB"/>
        </w:rPr>
        <w:t>£</w:t>
      </w:r>
      <w:r w:rsidR="1607C567" w:rsidRPr="5F03E608">
        <w:rPr>
          <w:rFonts w:eastAsia="Times New Roman"/>
          <w:b/>
          <w:bCs/>
          <w:lang w:eastAsia="en-GB"/>
        </w:rPr>
        <w:t>20</w:t>
      </w:r>
      <w:r w:rsidR="001E6488" w:rsidRPr="5F03E608">
        <w:rPr>
          <w:rFonts w:eastAsia="Times New Roman"/>
          <w:b/>
          <w:bCs/>
          <w:lang w:eastAsia="en-GB"/>
        </w:rPr>
        <w:t>.00</w:t>
      </w:r>
      <w:r w:rsidR="001039E0" w:rsidRPr="5F03E608">
        <w:rPr>
          <w:rFonts w:eastAsia="Times New Roman"/>
          <w:lang w:eastAsia="en-GB"/>
        </w:rPr>
        <w:t>.</w:t>
      </w:r>
    </w:p>
    <w:p w14:paraId="226B486C" w14:textId="77777777" w:rsidR="000B5275" w:rsidRPr="000B5275" w:rsidRDefault="000B5275" w:rsidP="000B5275">
      <w:pPr>
        <w:pStyle w:val="ListParagraph"/>
        <w:rPr>
          <w:rFonts w:eastAsia="Times New Roman"/>
          <w:lang w:eastAsia="en-GB"/>
        </w:rPr>
      </w:pPr>
    </w:p>
    <w:p w14:paraId="08C622FE" w14:textId="77777777" w:rsidR="000B5275" w:rsidRPr="000B5275" w:rsidRDefault="000B5275" w:rsidP="000B5275">
      <w:pPr>
        <w:pStyle w:val="ListParagraph"/>
        <w:spacing w:after="0" w:line="240" w:lineRule="auto"/>
        <w:rPr>
          <w:rFonts w:eastAsia="Times New Roman"/>
          <w:lang w:eastAsia="en-GB"/>
        </w:rPr>
      </w:pPr>
    </w:p>
    <w:p w14:paraId="4102827B" w14:textId="77777777" w:rsidR="00A03EBF" w:rsidRDefault="00A03EBF" w:rsidP="00A03EBF">
      <w:pPr>
        <w:spacing w:after="0" w:line="240" w:lineRule="auto"/>
        <w:rPr>
          <w:rFonts w:eastAsia="Times New Roman"/>
          <w:b/>
          <w:lang w:eastAsia="en-GB"/>
        </w:rPr>
      </w:pPr>
      <w:r>
        <w:rPr>
          <w:rFonts w:eastAsia="Times New Roman"/>
          <w:b/>
          <w:lang w:eastAsia="en-GB"/>
        </w:rPr>
        <w:t>4.</w:t>
      </w:r>
      <w:r w:rsidR="00444CD6" w:rsidRPr="00BF0561">
        <w:rPr>
          <w:rFonts w:eastAsia="Times New Roman"/>
          <w:b/>
          <w:lang w:eastAsia="en-GB"/>
        </w:rPr>
        <w:t>Family Learning</w:t>
      </w:r>
    </w:p>
    <w:p w14:paraId="7E0EB59D" w14:textId="77777777" w:rsidR="00A03EBF" w:rsidRDefault="00A03EBF" w:rsidP="00A03EBF">
      <w:pPr>
        <w:spacing w:after="0" w:line="240" w:lineRule="auto"/>
        <w:rPr>
          <w:rFonts w:eastAsia="Times New Roman"/>
          <w:lang w:eastAsia="en-GB"/>
        </w:rPr>
      </w:pPr>
    </w:p>
    <w:p w14:paraId="7C3B4D03" w14:textId="77777777" w:rsidR="00A03EBF" w:rsidRDefault="00A03EBF" w:rsidP="00A03EBF">
      <w:pPr>
        <w:spacing w:after="0" w:line="240" w:lineRule="auto"/>
        <w:rPr>
          <w:rFonts w:eastAsia="Times New Roman"/>
          <w:lang w:eastAsia="en-GB"/>
        </w:rPr>
      </w:pPr>
      <w:r w:rsidRPr="00A03EBF">
        <w:rPr>
          <w:rFonts w:eastAsia="Times New Roman"/>
          <w:lang w:eastAsia="en-GB"/>
        </w:rPr>
        <w:t xml:space="preserve">4a.       </w:t>
      </w:r>
      <w:r w:rsidR="00444CD6" w:rsidRPr="00A03EBF">
        <w:rPr>
          <w:rFonts w:eastAsia="Times New Roman"/>
          <w:lang w:eastAsia="en-GB"/>
        </w:rPr>
        <w:t>Courses that offer you the opportunity to learn together and to build strong relationships, develop new skills and raise aspirations for all the family. The courses available include English, English for speakers of other languages (ESOL), maths, steps into pre-school &amp; nursery, school readiness, steps into secondary school, online safety, understanding children and managing behaviour.</w:t>
      </w:r>
    </w:p>
    <w:p w14:paraId="0C23585A" w14:textId="3578F427" w:rsidR="00444CD6" w:rsidRPr="00A03EBF" w:rsidRDefault="00444CD6" w:rsidP="00A03EBF">
      <w:pPr>
        <w:spacing w:after="0" w:line="240" w:lineRule="auto"/>
        <w:rPr>
          <w:rFonts w:eastAsia="Times New Roman"/>
          <w:b/>
          <w:lang w:eastAsia="en-GB"/>
        </w:rPr>
      </w:pPr>
      <w:r w:rsidRPr="00A03EBF">
        <w:rPr>
          <w:rFonts w:eastAsia="Times New Roman"/>
          <w:lang w:eastAsia="en-GB"/>
        </w:rPr>
        <w:t xml:space="preserve"> </w:t>
      </w:r>
    </w:p>
    <w:p w14:paraId="1DA2DAD7" w14:textId="282B01F5" w:rsidR="00444CD6" w:rsidRPr="00534229" w:rsidRDefault="00444CD6" w:rsidP="00466C6B">
      <w:pPr>
        <w:pStyle w:val="ListParagraph"/>
        <w:numPr>
          <w:ilvl w:val="0"/>
          <w:numId w:val="13"/>
        </w:numPr>
        <w:spacing w:after="0" w:line="240" w:lineRule="auto"/>
        <w:rPr>
          <w:rFonts w:eastAsia="Times New Roman"/>
          <w:lang w:eastAsia="en-GB"/>
        </w:rPr>
      </w:pPr>
      <w:r w:rsidRPr="00A03EBF">
        <w:rPr>
          <w:rFonts w:eastAsia="Times New Roman"/>
          <w:lang w:eastAsia="en-GB"/>
        </w:rPr>
        <w:t>The majority of Family learning is fully funded in line with identified locality need and run in partnership with school or local providers.</w:t>
      </w:r>
    </w:p>
    <w:p w14:paraId="0BB23530" w14:textId="77777777" w:rsidR="00BF0561" w:rsidRDefault="007277BD" w:rsidP="00466C6B">
      <w:pPr>
        <w:pStyle w:val="ListParagraph"/>
        <w:numPr>
          <w:ilvl w:val="0"/>
          <w:numId w:val="10"/>
        </w:numPr>
        <w:spacing w:after="0" w:line="240" w:lineRule="auto"/>
        <w:rPr>
          <w:rFonts w:eastAsia="Times New Roman"/>
          <w:lang w:eastAsia="en-GB"/>
        </w:rPr>
      </w:pPr>
      <w:r w:rsidRPr="001039E0">
        <w:rPr>
          <w:rFonts w:eastAsia="Times New Roman"/>
          <w:lang w:eastAsia="en-GB"/>
        </w:rPr>
        <w:t>Prioritised Family Learning may be eligible for full funding with no fee</w:t>
      </w:r>
    </w:p>
    <w:p w14:paraId="4EAF2610" w14:textId="77777777" w:rsidR="001039E0" w:rsidRPr="001039E0" w:rsidRDefault="001039E0" w:rsidP="00466C6B">
      <w:pPr>
        <w:pStyle w:val="ListParagraph"/>
        <w:numPr>
          <w:ilvl w:val="0"/>
          <w:numId w:val="10"/>
        </w:numPr>
        <w:spacing w:after="0" w:line="240" w:lineRule="auto"/>
        <w:rPr>
          <w:rFonts w:eastAsia="Times New Roman"/>
          <w:lang w:eastAsia="en-GB"/>
        </w:rPr>
      </w:pPr>
      <w:r>
        <w:rPr>
          <w:rFonts w:eastAsia="Times New Roman"/>
          <w:lang w:eastAsia="en-GB"/>
        </w:rPr>
        <w:t>Family Learning Maths, English and Digital Skills are fully funded with no fee</w:t>
      </w:r>
    </w:p>
    <w:p w14:paraId="3054136C" w14:textId="77777777" w:rsidR="00444CD6" w:rsidRPr="001039E0" w:rsidRDefault="00444CD6" w:rsidP="00466C6B">
      <w:pPr>
        <w:pStyle w:val="ListParagraph"/>
        <w:numPr>
          <w:ilvl w:val="0"/>
          <w:numId w:val="8"/>
        </w:numPr>
        <w:spacing w:after="0" w:line="240" w:lineRule="auto"/>
        <w:rPr>
          <w:rFonts w:eastAsia="Times New Roman"/>
          <w:lang w:eastAsia="en-GB"/>
        </w:rPr>
      </w:pPr>
      <w:r w:rsidRPr="001039E0">
        <w:rPr>
          <w:rFonts w:eastAsia="Times New Roman"/>
          <w:lang w:eastAsia="en-GB"/>
        </w:rPr>
        <w:t>A variable fee rate may be charged to a specific course for materials</w:t>
      </w:r>
    </w:p>
    <w:p w14:paraId="2479E762" w14:textId="77777777" w:rsidR="00444CD6" w:rsidRPr="001039E0" w:rsidRDefault="00444CD6" w:rsidP="00466C6B">
      <w:pPr>
        <w:pStyle w:val="ListParagraph"/>
        <w:numPr>
          <w:ilvl w:val="0"/>
          <w:numId w:val="8"/>
        </w:numPr>
        <w:spacing w:after="0" w:line="240" w:lineRule="auto"/>
        <w:rPr>
          <w:rFonts w:eastAsia="Times New Roman"/>
          <w:lang w:eastAsia="en-GB"/>
        </w:rPr>
      </w:pPr>
      <w:r w:rsidRPr="001039E0">
        <w:rPr>
          <w:rFonts w:eastAsia="Times New Roman"/>
          <w:lang w:eastAsia="en-GB"/>
        </w:rPr>
        <w:t>Full cost recovery courses</w:t>
      </w:r>
      <w:r w:rsidR="007277BD" w:rsidRPr="001039E0">
        <w:rPr>
          <w:rFonts w:eastAsia="Times New Roman"/>
          <w:lang w:eastAsia="en-GB"/>
        </w:rPr>
        <w:t xml:space="preserve"> or partially funded courses</w:t>
      </w:r>
      <w:r w:rsidRPr="001039E0">
        <w:rPr>
          <w:rFonts w:eastAsia="Times New Roman"/>
          <w:lang w:eastAsia="en-GB"/>
        </w:rPr>
        <w:t xml:space="preserve"> may also</w:t>
      </w:r>
      <w:r w:rsidR="007277BD" w:rsidRPr="001039E0">
        <w:rPr>
          <w:rFonts w:eastAsia="Times New Roman"/>
          <w:lang w:eastAsia="en-GB"/>
        </w:rPr>
        <w:t xml:space="preserve"> be run within specialist areas</w:t>
      </w:r>
    </w:p>
    <w:p w14:paraId="73AE6993" w14:textId="77777777" w:rsidR="007277BD" w:rsidRPr="00BF0561" w:rsidRDefault="007277BD" w:rsidP="007277BD">
      <w:pPr>
        <w:pStyle w:val="ListParagraph"/>
        <w:spacing w:after="0" w:line="240" w:lineRule="auto"/>
        <w:rPr>
          <w:rFonts w:eastAsia="Times New Roman"/>
          <w:lang w:eastAsia="en-GB"/>
        </w:rPr>
      </w:pPr>
    </w:p>
    <w:p w14:paraId="0515177B" w14:textId="77777777" w:rsidR="00E431D2" w:rsidRPr="00BF0561" w:rsidRDefault="00E431D2" w:rsidP="00D914B8">
      <w:pPr>
        <w:spacing w:after="0" w:line="240" w:lineRule="auto"/>
        <w:rPr>
          <w:rFonts w:eastAsia="Times New Roman"/>
          <w:b/>
          <w:lang w:eastAsia="en-GB"/>
        </w:rPr>
      </w:pPr>
    </w:p>
    <w:p w14:paraId="15326C87" w14:textId="02BE752B" w:rsidR="0005463F" w:rsidRPr="00BF0561" w:rsidRDefault="00A03EBF" w:rsidP="00D914B8">
      <w:pPr>
        <w:spacing w:after="0" w:line="240" w:lineRule="auto"/>
        <w:rPr>
          <w:rFonts w:eastAsia="Times New Roman"/>
          <w:b/>
          <w:lang w:eastAsia="en-GB"/>
        </w:rPr>
      </w:pPr>
      <w:r>
        <w:rPr>
          <w:rFonts w:eastAsia="Times New Roman"/>
          <w:b/>
          <w:lang w:eastAsia="en-GB"/>
        </w:rPr>
        <w:t>5.</w:t>
      </w:r>
      <w:r w:rsidR="00C34B92" w:rsidRPr="00BF0561">
        <w:rPr>
          <w:rFonts w:eastAsia="Times New Roman"/>
          <w:b/>
          <w:lang w:eastAsia="en-GB"/>
        </w:rPr>
        <w:t>Courses which do not lead to a qualification (</w:t>
      </w:r>
      <w:r w:rsidR="00832769" w:rsidRPr="00BF0561">
        <w:rPr>
          <w:rFonts w:eastAsia="Times New Roman"/>
          <w:b/>
          <w:lang w:eastAsia="en-GB"/>
        </w:rPr>
        <w:t>Non</w:t>
      </w:r>
      <w:r w:rsidR="00F97301" w:rsidRPr="00BF0561">
        <w:rPr>
          <w:rFonts w:eastAsia="Times New Roman"/>
          <w:b/>
          <w:lang w:eastAsia="en-GB"/>
        </w:rPr>
        <w:t>-</w:t>
      </w:r>
      <w:r w:rsidR="00832769" w:rsidRPr="00BF0561">
        <w:rPr>
          <w:rFonts w:eastAsia="Times New Roman"/>
          <w:b/>
          <w:lang w:eastAsia="en-GB"/>
        </w:rPr>
        <w:t>accredited</w:t>
      </w:r>
      <w:r w:rsidR="004E2FC3" w:rsidRPr="00BF0561">
        <w:rPr>
          <w:rFonts w:eastAsia="Times New Roman"/>
          <w:b/>
          <w:lang w:eastAsia="en-GB"/>
        </w:rPr>
        <w:t xml:space="preserve"> Learning</w:t>
      </w:r>
      <w:r w:rsidR="00C34B92" w:rsidRPr="00BF0561">
        <w:rPr>
          <w:rFonts w:eastAsia="Times New Roman"/>
          <w:b/>
          <w:lang w:eastAsia="en-GB"/>
        </w:rPr>
        <w:t>)</w:t>
      </w:r>
      <w:r w:rsidR="00FF71F4" w:rsidRPr="00BF0561">
        <w:rPr>
          <w:rFonts w:eastAsia="Times New Roman"/>
          <w:b/>
          <w:lang w:eastAsia="en-GB"/>
        </w:rPr>
        <w:t xml:space="preserve"> </w:t>
      </w:r>
    </w:p>
    <w:p w14:paraId="4A7A3C47" w14:textId="77777777" w:rsidR="000873A3" w:rsidRPr="00BF0561" w:rsidRDefault="000873A3" w:rsidP="00460F0A">
      <w:pPr>
        <w:spacing w:after="0" w:line="240" w:lineRule="auto"/>
        <w:jc w:val="both"/>
        <w:rPr>
          <w:rFonts w:eastAsia="Times New Roman"/>
          <w:lang w:eastAsia="en-GB"/>
        </w:rPr>
      </w:pPr>
    </w:p>
    <w:p w14:paraId="6A8F2862" w14:textId="058C8B5D" w:rsidR="0003108F" w:rsidRPr="00534229" w:rsidRDefault="00FF71F4" w:rsidP="00466C6B">
      <w:pPr>
        <w:pStyle w:val="ListParagraph"/>
        <w:numPr>
          <w:ilvl w:val="0"/>
          <w:numId w:val="2"/>
        </w:numPr>
        <w:spacing w:after="0" w:line="240" w:lineRule="auto"/>
        <w:jc w:val="both"/>
        <w:rPr>
          <w:rFonts w:eastAsia="Times New Roman"/>
          <w:lang w:eastAsia="en-GB"/>
        </w:rPr>
      </w:pPr>
      <w:r w:rsidRPr="00BF0561">
        <w:rPr>
          <w:rFonts w:eastAsia="Times New Roman"/>
          <w:lang w:eastAsia="en-GB"/>
        </w:rPr>
        <w:t xml:space="preserve">The </w:t>
      </w:r>
      <w:r w:rsidR="002620C4" w:rsidRPr="00BF0561">
        <w:rPr>
          <w:rFonts w:eastAsia="Times New Roman"/>
          <w:lang w:eastAsia="en-GB"/>
        </w:rPr>
        <w:t xml:space="preserve">fee rate per hour </w:t>
      </w:r>
      <w:r w:rsidR="00985F59" w:rsidRPr="00BF0561">
        <w:rPr>
          <w:rFonts w:eastAsia="Times New Roman"/>
          <w:lang w:eastAsia="en-GB"/>
        </w:rPr>
        <w:t>varies on the course undertaken and materials required.</w:t>
      </w:r>
      <w:r w:rsidR="00F4264C" w:rsidRPr="00BF0561">
        <w:rPr>
          <w:rFonts w:eastAsia="Times New Roman"/>
          <w:b/>
          <w:lang w:eastAsia="en-GB"/>
        </w:rPr>
        <w:t xml:space="preserve"> </w:t>
      </w:r>
    </w:p>
    <w:p w14:paraId="4333EABB" w14:textId="1E313EAD" w:rsidR="000A0735" w:rsidRPr="00534229" w:rsidRDefault="007277BD" w:rsidP="00466C6B">
      <w:pPr>
        <w:pStyle w:val="ListParagraph"/>
        <w:numPr>
          <w:ilvl w:val="0"/>
          <w:numId w:val="2"/>
        </w:numPr>
        <w:spacing w:after="0" w:line="240" w:lineRule="auto"/>
        <w:jc w:val="both"/>
        <w:rPr>
          <w:rFonts w:eastAsia="Times New Roman"/>
          <w:lang w:eastAsia="en-GB"/>
        </w:rPr>
      </w:pPr>
      <w:r>
        <w:rPr>
          <w:rFonts w:eastAsia="Times New Roman"/>
          <w:lang w:eastAsia="en-GB"/>
        </w:rPr>
        <w:t xml:space="preserve">For those in receipt </w:t>
      </w:r>
      <w:r w:rsidRPr="001039E0">
        <w:rPr>
          <w:rFonts w:eastAsia="Times New Roman"/>
          <w:lang w:eastAsia="en-GB"/>
        </w:rPr>
        <w:t>of</w:t>
      </w:r>
      <w:r w:rsidR="00FF71F4" w:rsidRPr="001039E0">
        <w:rPr>
          <w:rFonts w:eastAsia="Times New Roman"/>
          <w:lang w:eastAsia="en-GB"/>
        </w:rPr>
        <w:t xml:space="preserve"> </w:t>
      </w:r>
      <w:r w:rsidR="00A0510C" w:rsidRPr="001039E0">
        <w:rPr>
          <w:rFonts w:eastAsia="Times New Roman"/>
          <w:lang w:eastAsia="en-GB"/>
        </w:rPr>
        <w:t>benefit</w:t>
      </w:r>
      <w:r w:rsidRPr="001039E0">
        <w:rPr>
          <w:rFonts w:eastAsia="Times New Roman"/>
          <w:lang w:eastAsia="en-GB"/>
        </w:rPr>
        <w:t>s</w:t>
      </w:r>
      <w:r w:rsidR="001039E0" w:rsidRPr="001039E0">
        <w:rPr>
          <w:rFonts w:eastAsia="Times New Roman"/>
          <w:lang w:eastAsia="en-GB"/>
        </w:rPr>
        <w:t xml:space="preserve"> or low income</w:t>
      </w:r>
      <w:r w:rsidRPr="001039E0">
        <w:rPr>
          <w:rFonts w:eastAsia="Times New Roman"/>
          <w:lang w:eastAsia="en-GB"/>
        </w:rPr>
        <w:t xml:space="preserve"> </w:t>
      </w:r>
      <w:r w:rsidR="001039E0" w:rsidRPr="001039E0">
        <w:rPr>
          <w:rFonts w:eastAsia="Times New Roman"/>
          <w:lang w:eastAsia="en-GB"/>
        </w:rPr>
        <w:t>a</w:t>
      </w:r>
      <w:r w:rsidR="001039E0">
        <w:rPr>
          <w:rFonts w:eastAsia="Times New Roman"/>
          <w:lang w:eastAsia="en-GB"/>
        </w:rPr>
        <w:t xml:space="preserve"> 60% discount is</w:t>
      </w:r>
      <w:r w:rsidR="00FF71F4" w:rsidRPr="00BF0561">
        <w:rPr>
          <w:rFonts w:eastAsia="Times New Roman"/>
          <w:lang w:eastAsia="en-GB"/>
        </w:rPr>
        <w:t xml:space="preserve"> </w:t>
      </w:r>
      <w:r w:rsidR="00985F59" w:rsidRPr="00BF0561">
        <w:rPr>
          <w:rFonts w:eastAsia="Times New Roman"/>
          <w:lang w:eastAsia="en-GB"/>
        </w:rPr>
        <w:t>applicable</w:t>
      </w:r>
      <w:r w:rsidR="001039E0">
        <w:rPr>
          <w:rFonts w:eastAsia="Times New Roman"/>
          <w:lang w:eastAsia="en-GB"/>
        </w:rPr>
        <w:t xml:space="preserve"> to the</w:t>
      </w:r>
      <w:r>
        <w:rPr>
          <w:rFonts w:eastAsia="Times New Roman"/>
          <w:lang w:eastAsia="en-GB"/>
        </w:rPr>
        <w:t xml:space="preserve"> full</w:t>
      </w:r>
      <w:r w:rsidR="00985F59" w:rsidRPr="00BF0561">
        <w:rPr>
          <w:rFonts w:eastAsia="Times New Roman"/>
          <w:lang w:eastAsia="en-GB"/>
        </w:rPr>
        <w:t xml:space="preserve"> course fee</w:t>
      </w:r>
      <w:r w:rsidR="00CE268F">
        <w:rPr>
          <w:rFonts w:eastAsia="Times New Roman"/>
          <w:lang w:eastAsia="en-GB"/>
        </w:rPr>
        <w:t>. The benefit rate is not subject to further discounts.</w:t>
      </w:r>
    </w:p>
    <w:p w14:paraId="399C23D7" w14:textId="208AE940" w:rsidR="00E81C9F" w:rsidRPr="00534229" w:rsidRDefault="00CE268F" w:rsidP="00466C6B">
      <w:pPr>
        <w:pStyle w:val="ListParagraph"/>
        <w:numPr>
          <w:ilvl w:val="0"/>
          <w:numId w:val="2"/>
        </w:numPr>
        <w:spacing w:after="0" w:line="240" w:lineRule="auto"/>
        <w:jc w:val="both"/>
        <w:rPr>
          <w:rFonts w:eastAsia="Times New Roman"/>
          <w:lang w:eastAsia="en-GB"/>
        </w:rPr>
      </w:pPr>
      <w:r>
        <w:rPr>
          <w:rFonts w:eastAsia="Times New Roman"/>
          <w:lang w:eastAsia="en-GB"/>
        </w:rPr>
        <w:t>Learners who are</w:t>
      </w:r>
      <w:r w:rsidR="00E81C9F" w:rsidRPr="001039E0">
        <w:rPr>
          <w:rFonts w:eastAsia="Times New Roman"/>
          <w:lang w:eastAsia="en-GB"/>
        </w:rPr>
        <w:t xml:space="preserve"> over 65 </w:t>
      </w:r>
      <w:r w:rsidR="00F35970" w:rsidRPr="001039E0">
        <w:rPr>
          <w:rFonts w:eastAsia="Times New Roman"/>
          <w:lang w:eastAsia="en-GB"/>
        </w:rPr>
        <w:t>are entitled to a 20% discount</w:t>
      </w:r>
      <w:r w:rsidR="00E74A27">
        <w:rPr>
          <w:rFonts w:eastAsia="Times New Roman"/>
          <w:lang w:eastAsia="en-GB"/>
        </w:rPr>
        <w:t>,</w:t>
      </w:r>
      <w:r w:rsidR="00F35970" w:rsidRPr="001039E0">
        <w:rPr>
          <w:rFonts w:eastAsia="Times New Roman"/>
          <w:lang w:eastAsia="en-GB"/>
        </w:rPr>
        <w:t xml:space="preserve"> </w:t>
      </w:r>
      <w:r w:rsidR="00E74A27" w:rsidRPr="00E74A27">
        <w:rPr>
          <w:rFonts w:eastAsia="Times New Roman"/>
          <w:lang w:eastAsia="en-GB"/>
        </w:rPr>
        <w:t>which</w:t>
      </w:r>
      <w:r w:rsidR="00DA0267">
        <w:rPr>
          <w:rFonts w:eastAsia="Times New Roman"/>
          <w:lang w:eastAsia="en-GB"/>
        </w:rPr>
        <w:t xml:space="preserve"> </w:t>
      </w:r>
      <w:r w:rsidR="00B3289B">
        <w:rPr>
          <w:rFonts w:eastAsia="Times New Roman"/>
          <w:lang w:eastAsia="en-GB"/>
        </w:rPr>
        <w:t>may</w:t>
      </w:r>
      <w:r w:rsidR="009747B7">
        <w:rPr>
          <w:rFonts w:eastAsia="Times New Roman"/>
          <w:lang w:eastAsia="en-GB"/>
        </w:rPr>
        <w:t xml:space="preserve"> </w:t>
      </w:r>
      <w:r w:rsidR="00F35970" w:rsidRPr="001039E0">
        <w:rPr>
          <w:rFonts w:eastAsia="Times New Roman"/>
          <w:lang w:eastAsia="en-GB"/>
        </w:rPr>
        <w:t>not to be used in conjunction with other offers</w:t>
      </w:r>
      <w:r>
        <w:rPr>
          <w:rFonts w:eastAsia="Times New Roman"/>
          <w:lang w:eastAsia="en-GB"/>
        </w:rPr>
        <w:t>.</w:t>
      </w:r>
      <w:r w:rsidR="00F35970" w:rsidRPr="001039E0">
        <w:rPr>
          <w:rFonts w:eastAsia="Times New Roman"/>
          <w:lang w:eastAsia="en-GB"/>
        </w:rPr>
        <w:t xml:space="preserve"> </w:t>
      </w:r>
      <w:r>
        <w:rPr>
          <w:rFonts w:eastAsia="Times New Roman"/>
          <w:lang w:eastAsia="en-GB"/>
        </w:rPr>
        <w:t>This concession is designed</w:t>
      </w:r>
      <w:r w:rsidR="00F35970" w:rsidRPr="001039E0">
        <w:rPr>
          <w:rFonts w:eastAsia="Times New Roman"/>
          <w:lang w:eastAsia="en-GB"/>
        </w:rPr>
        <w:t xml:space="preserve"> to support social inclusion and improved mental and physical health.</w:t>
      </w:r>
    </w:p>
    <w:p w14:paraId="3617CC18" w14:textId="7B0209EB" w:rsidR="00E81C9F" w:rsidRPr="001039E0" w:rsidRDefault="00E81C9F" w:rsidP="00466C6B">
      <w:pPr>
        <w:pStyle w:val="ListParagraph"/>
        <w:numPr>
          <w:ilvl w:val="0"/>
          <w:numId w:val="2"/>
        </w:numPr>
        <w:spacing w:after="0" w:line="240" w:lineRule="auto"/>
        <w:jc w:val="both"/>
        <w:rPr>
          <w:rFonts w:eastAsia="Times New Roman"/>
          <w:lang w:eastAsia="en-GB"/>
        </w:rPr>
      </w:pPr>
      <w:r w:rsidRPr="001039E0">
        <w:rPr>
          <w:rFonts w:eastAsia="Times New Roman"/>
          <w:lang w:eastAsia="en-GB"/>
        </w:rPr>
        <w:t xml:space="preserve">Prioritised and targeted </w:t>
      </w:r>
      <w:r w:rsidR="001447CD">
        <w:rPr>
          <w:rFonts w:eastAsia="Times New Roman"/>
          <w:lang w:eastAsia="en-GB"/>
        </w:rPr>
        <w:t>tailored</w:t>
      </w:r>
      <w:r w:rsidRPr="001039E0">
        <w:rPr>
          <w:rFonts w:eastAsia="Times New Roman"/>
          <w:lang w:eastAsia="en-GB"/>
        </w:rPr>
        <w:t xml:space="preserve"> learning provision may be fully funded.</w:t>
      </w:r>
    </w:p>
    <w:p w14:paraId="49FD7827" w14:textId="77777777" w:rsidR="009B5B51" w:rsidRPr="00BF0561" w:rsidRDefault="009B5B51" w:rsidP="00C751B5">
      <w:pPr>
        <w:spacing w:after="0" w:line="240" w:lineRule="auto"/>
        <w:jc w:val="both"/>
        <w:rPr>
          <w:rFonts w:eastAsia="Times New Roman"/>
          <w:i/>
          <w:lang w:eastAsia="en-GB"/>
        </w:rPr>
      </w:pPr>
    </w:p>
    <w:p w14:paraId="1BF75C4B" w14:textId="77777777" w:rsidR="00C751B5" w:rsidRPr="00BF0561" w:rsidRDefault="00C93320" w:rsidP="00C751B5">
      <w:pPr>
        <w:spacing w:after="0" w:line="240" w:lineRule="auto"/>
        <w:jc w:val="both"/>
        <w:rPr>
          <w:rFonts w:eastAsia="Times New Roman"/>
          <w:lang w:eastAsia="en-GB"/>
        </w:rPr>
      </w:pPr>
      <w:r>
        <w:rPr>
          <w:rFonts w:eastAsia="Times New Roman"/>
          <w:lang w:eastAsia="en-GB"/>
        </w:rPr>
        <w:t>The college</w:t>
      </w:r>
      <w:r w:rsidR="009B5B51" w:rsidRPr="00BF0561">
        <w:rPr>
          <w:rFonts w:eastAsia="Times New Roman"/>
          <w:lang w:eastAsia="en-GB"/>
        </w:rPr>
        <w:t xml:space="preserve"> </w:t>
      </w:r>
      <w:r w:rsidR="00C751B5" w:rsidRPr="00BF0561">
        <w:rPr>
          <w:rFonts w:eastAsia="Times New Roman"/>
          <w:lang w:eastAsia="en-GB"/>
        </w:rPr>
        <w:t>reserve</w:t>
      </w:r>
      <w:r w:rsidR="009B5B51" w:rsidRPr="00BF0561">
        <w:rPr>
          <w:rFonts w:eastAsia="Times New Roman"/>
          <w:lang w:eastAsia="en-GB"/>
        </w:rPr>
        <w:t>s</w:t>
      </w:r>
      <w:r w:rsidR="00C751B5" w:rsidRPr="00BF0561">
        <w:rPr>
          <w:rFonts w:eastAsia="Times New Roman"/>
          <w:lang w:eastAsia="en-GB"/>
        </w:rPr>
        <w:t xml:space="preserve"> the right to use </w:t>
      </w:r>
      <w:r w:rsidR="002A27A2" w:rsidRPr="00BF0561">
        <w:rPr>
          <w:rFonts w:eastAsia="Times New Roman"/>
          <w:lang w:eastAsia="en-GB"/>
        </w:rPr>
        <w:t>a</w:t>
      </w:r>
      <w:r w:rsidR="00C751B5" w:rsidRPr="00BF0561">
        <w:rPr>
          <w:rFonts w:eastAsia="Times New Roman"/>
          <w:lang w:eastAsia="en-GB"/>
        </w:rPr>
        <w:t xml:space="preserve"> formula-funded approach where applicable in accordance with </w:t>
      </w:r>
      <w:r w:rsidR="00B26715" w:rsidRPr="00BF0561">
        <w:rPr>
          <w:rFonts w:eastAsia="Times New Roman"/>
          <w:lang w:eastAsia="en-GB"/>
        </w:rPr>
        <w:t>E</w:t>
      </w:r>
      <w:r w:rsidR="00C751B5" w:rsidRPr="00BF0561">
        <w:rPr>
          <w:rFonts w:eastAsia="Times New Roman"/>
          <w:lang w:eastAsia="en-GB"/>
        </w:rPr>
        <w:t>SFA guidance</w:t>
      </w:r>
      <w:r w:rsidR="008A7AD7" w:rsidRPr="00BF0561">
        <w:rPr>
          <w:rFonts w:eastAsia="Times New Roman"/>
          <w:lang w:eastAsia="en-GB"/>
        </w:rPr>
        <w:t>.</w:t>
      </w:r>
      <w:r w:rsidR="00C751B5" w:rsidRPr="00BF0561">
        <w:rPr>
          <w:rFonts w:eastAsia="Times New Roman"/>
          <w:lang w:eastAsia="en-GB"/>
        </w:rPr>
        <w:t xml:space="preserve"> </w:t>
      </w:r>
    </w:p>
    <w:p w14:paraId="7B9C60D7" w14:textId="77777777" w:rsidR="00E431D2" w:rsidRPr="00BF0561" w:rsidRDefault="00E431D2" w:rsidP="00C751B5">
      <w:pPr>
        <w:spacing w:after="0" w:line="240" w:lineRule="auto"/>
        <w:jc w:val="both"/>
        <w:rPr>
          <w:rFonts w:eastAsia="Times New Roman"/>
          <w:lang w:eastAsia="en-GB"/>
        </w:rPr>
      </w:pPr>
    </w:p>
    <w:p w14:paraId="393C0FC4" w14:textId="37E45478" w:rsidR="00C751B5" w:rsidRPr="00BF0561" w:rsidRDefault="00F35970" w:rsidP="00466C6B">
      <w:pPr>
        <w:pStyle w:val="ListParagraph"/>
        <w:numPr>
          <w:ilvl w:val="0"/>
          <w:numId w:val="2"/>
        </w:numPr>
        <w:spacing w:after="0" w:line="240" w:lineRule="auto"/>
        <w:jc w:val="both"/>
      </w:pPr>
      <w:r w:rsidRPr="00A03EBF">
        <w:rPr>
          <w:rFonts w:eastAsia="Times New Roman"/>
          <w:lang w:eastAsia="en-GB"/>
        </w:rPr>
        <w:t>We want to ensure finance is not a barrier to learning and participation, therefore a</w:t>
      </w:r>
      <w:r w:rsidR="00292825" w:rsidRPr="00A03EBF">
        <w:rPr>
          <w:rFonts w:eastAsia="Times New Roman"/>
          <w:lang w:eastAsia="en-GB"/>
        </w:rPr>
        <w:t xml:space="preserve"> </w:t>
      </w:r>
      <w:r w:rsidR="008A7AD7" w:rsidRPr="00A03EBF">
        <w:rPr>
          <w:rFonts w:eastAsia="Times New Roman"/>
          <w:lang w:eastAsia="en-GB"/>
        </w:rPr>
        <w:t>l</w:t>
      </w:r>
      <w:r w:rsidR="00292825" w:rsidRPr="00A03EBF">
        <w:rPr>
          <w:rFonts w:eastAsia="Times New Roman"/>
          <w:lang w:eastAsia="en-GB"/>
        </w:rPr>
        <w:t>earning</w:t>
      </w:r>
      <w:r w:rsidR="00FF71F4" w:rsidRPr="00A03EBF">
        <w:rPr>
          <w:rFonts w:eastAsia="Times New Roman"/>
          <w:lang w:eastAsia="en-GB"/>
        </w:rPr>
        <w:t xml:space="preserve"> bursary </w:t>
      </w:r>
      <w:r w:rsidR="00624413" w:rsidRPr="00A03EBF">
        <w:rPr>
          <w:rFonts w:eastAsia="Times New Roman"/>
          <w:lang w:eastAsia="en-GB"/>
        </w:rPr>
        <w:t xml:space="preserve">fund </w:t>
      </w:r>
      <w:r w:rsidR="006B6D53" w:rsidRPr="00A03EBF">
        <w:rPr>
          <w:rFonts w:eastAsia="Times New Roman"/>
          <w:lang w:eastAsia="en-GB"/>
        </w:rPr>
        <w:t>is</w:t>
      </w:r>
      <w:r w:rsidR="00FF71F4" w:rsidRPr="00A03EBF">
        <w:rPr>
          <w:rFonts w:eastAsia="Times New Roman"/>
          <w:lang w:eastAsia="en-GB"/>
        </w:rPr>
        <w:t xml:space="preserve"> available</w:t>
      </w:r>
      <w:r w:rsidR="001039E0" w:rsidRPr="00A03EBF">
        <w:rPr>
          <w:rFonts w:eastAsia="Times New Roman"/>
          <w:lang w:eastAsia="en-GB"/>
        </w:rPr>
        <w:t xml:space="preserve"> and</w:t>
      </w:r>
      <w:r w:rsidRPr="00A03EBF">
        <w:rPr>
          <w:rFonts w:eastAsia="Times New Roman"/>
          <w:lang w:eastAsia="en-GB"/>
        </w:rPr>
        <w:t xml:space="preserve"> may be used to cover course fees, </w:t>
      </w:r>
      <w:r w:rsidR="00FF71F4" w:rsidRPr="00A03EBF">
        <w:rPr>
          <w:rFonts w:eastAsia="Times New Roman"/>
          <w:lang w:eastAsia="en-GB"/>
        </w:rPr>
        <w:t xml:space="preserve">assist with </w:t>
      </w:r>
      <w:r w:rsidR="00624413" w:rsidRPr="00A03EBF">
        <w:rPr>
          <w:rFonts w:eastAsia="Times New Roman"/>
          <w:lang w:eastAsia="en-GB"/>
        </w:rPr>
        <w:t xml:space="preserve">learning </w:t>
      </w:r>
      <w:r w:rsidR="00FF71F4" w:rsidRPr="00A03EBF">
        <w:rPr>
          <w:rFonts w:eastAsia="Times New Roman"/>
          <w:lang w:eastAsia="en-GB"/>
        </w:rPr>
        <w:t xml:space="preserve">resources, childcare and travel in cases of exceptional financial hardship.  </w:t>
      </w:r>
    </w:p>
    <w:p w14:paraId="5035AF30" w14:textId="77777777" w:rsidR="0073316E" w:rsidRPr="00BF0561" w:rsidRDefault="0073316E" w:rsidP="001D4277">
      <w:pPr>
        <w:spacing w:after="0" w:line="240" w:lineRule="auto"/>
        <w:jc w:val="both"/>
      </w:pPr>
    </w:p>
    <w:p w14:paraId="368EAE3D" w14:textId="3366EBB7" w:rsidR="00C751B5" w:rsidRPr="00BF0561" w:rsidRDefault="00A03EBF" w:rsidP="001D4277">
      <w:pPr>
        <w:spacing w:after="0" w:line="240" w:lineRule="auto"/>
        <w:jc w:val="both"/>
        <w:rPr>
          <w:rFonts w:eastAsia="Times New Roman"/>
          <w:b/>
          <w:lang w:eastAsia="en-GB"/>
        </w:rPr>
      </w:pPr>
      <w:r>
        <w:rPr>
          <w:rFonts w:eastAsia="Times New Roman"/>
          <w:b/>
          <w:lang w:eastAsia="en-GB"/>
        </w:rPr>
        <w:t>6.</w:t>
      </w:r>
      <w:r w:rsidR="006F26E6" w:rsidRPr="00BF0561">
        <w:rPr>
          <w:rFonts w:eastAsia="Times New Roman"/>
          <w:b/>
          <w:lang w:eastAsia="en-GB"/>
        </w:rPr>
        <w:t xml:space="preserve">Full cost </w:t>
      </w:r>
      <w:r w:rsidR="00AF38C9" w:rsidRPr="00BF0561">
        <w:rPr>
          <w:rFonts w:eastAsia="Times New Roman"/>
          <w:b/>
          <w:lang w:eastAsia="en-GB"/>
        </w:rPr>
        <w:t>courses</w:t>
      </w:r>
    </w:p>
    <w:p w14:paraId="1ABF1FEC" w14:textId="77777777" w:rsidR="0073316E" w:rsidRPr="00BF0561" w:rsidRDefault="0073316E" w:rsidP="001D4277">
      <w:pPr>
        <w:spacing w:after="0" w:line="240" w:lineRule="auto"/>
        <w:jc w:val="both"/>
        <w:rPr>
          <w:rFonts w:eastAsia="Times New Roman"/>
          <w:lang w:eastAsia="en-GB"/>
        </w:rPr>
      </w:pPr>
    </w:p>
    <w:p w14:paraId="31385855" w14:textId="2611AAA5" w:rsidR="00DA0267" w:rsidRPr="00A03EBF" w:rsidRDefault="006F26E6" w:rsidP="00466C6B">
      <w:pPr>
        <w:pStyle w:val="ListParagraph"/>
        <w:numPr>
          <w:ilvl w:val="0"/>
          <w:numId w:val="15"/>
        </w:numPr>
        <w:rPr>
          <w:rFonts w:eastAsia="Times New Roman"/>
          <w:lang w:eastAsia="en-GB"/>
        </w:rPr>
      </w:pPr>
      <w:r w:rsidRPr="00A03EBF">
        <w:rPr>
          <w:rFonts w:eastAsia="Times New Roman"/>
          <w:lang w:eastAsia="en-GB"/>
        </w:rPr>
        <w:t>F</w:t>
      </w:r>
      <w:r w:rsidR="009C6A98" w:rsidRPr="00A03EBF">
        <w:rPr>
          <w:rFonts w:eastAsia="Times New Roman"/>
          <w:lang w:eastAsia="en-GB"/>
        </w:rPr>
        <w:t xml:space="preserve">ull cost programmes </w:t>
      </w:r>
      <w:r w:rsidR="00B84ADA" w:rsidRPr="00A03EBF">
        <w:rPr>
          <w:rFonts w:eastAsia="Times New Roman"/>
          <w:lang w:eastAsia="en-GB"/>
        </w:rPr>
        <w:t xml:space="preserve">are not </w:t>
      </w:r>
      <w:r w:rsidR="009F71EB" w:rsidRPr="00A03EBF">
        <w:rPr>
          <w:rFonts w:eastAsia="Times New Roman"/>
          <w:lang w:eastAsia="en-GB"/>
        </w:rPr>
        <w:t>g</w:t>
      </w:r>
      <w:r w:rsidR="00B84ADA" w:rsidRPr="00A03EBF">
        <w:rPr>
          <w:rFonts w:eastAsia="Times New Roman"/>
          <w:lang w:eastAsia="en-GB"/>
        </w:rPr>
        <w:t>overnment funded</w:t>
      </w:r>
      <w:r w:rsidR="009C6A98" w:rsidRPr="00A03EBF">
        <w:rPr>
          <w:rFonts w:eastAsia="Times New Roman"/>
          <w:lang w:eastAsia="en-GB"/>
        </w:rPr>
        <w:t xml:space="preserve"> </w:t>
      </w:r>
      <w:r w:rsidR="001A0333" w:rsidRPr="00A03EBF">
        <w:rPr>
          <w:rFonts w:eastAsia="Times New Roman"/>
          <w:lang w:eastAsia="en-GB"/>
        </w:rPr>
        <w:t>and</w:t>
      </w:r>
      <w:r w:rsidR="00EC0B32" w:rsidRPr="00A03EBF">
        <w:rPr>
          <w:rFonts w:eastAsia="Times New Roman"/>
          <w:lang w:eastAsia="en-GB"/>
        </w:rPr>
        <w:t xml:space="preserve"> will be </w:t>
      </w:r>
      <w:r w:rsidR="00BD7D47" w:rsidRPr="00A03EBF">
        <w:rPr>
          <w:rFonts w:eastAsia="Times New Roman"/>
          <w:lang w:eastAsia="en-GB"/>
        </w:rPr>
        <w:t>c</w:t>
      </w:r>
      <w:r w:rsidR="002D2E5A" w:rsidRPr="00A03EBF">
        <w:rPr>
          <w:rFonts w:eastAsia="Times New Roman"/>
          <w:lang w:eastAsia="en-GB"/>
        </w:rPr>
        <w:t xml:space="preserve">harged </w:t>
      </w:r>
      <w:r w:rsidR="00C751B5" w:rsidRPr="00A03EBF">
        <w:rPr>
          <w:rFonts w:eastAsia="Times New Roman"/>
          <w:lang w:eastAsia="en-GB"/>
        </w:rPr>
        <w:t>at</w:t>
      </w:r>
      <w:r w:rsidR="00447EAE" w:rsidRPr="00A03EBF">
        <w:rPr>
          <w:rFonts w:eastAsia="Times New Roman"/>
          <w:color w:val="FF0000"/>
          <w:lang w:eastAsia="en-GB"/>
        </w:rPr>
        <w:t xml:space="preserve"> </w:t>
      </w:r>
      <w:r w:rsidR="00C30762" w:rsidRPr="00A03EBF">
        <w:rPr>
          <w:rFonts w:eastAsia="Times New Roman"/>
          <w:lang w:eastAsia="en-GB"/>
        </w:rPr>
        <w:t>an</w:t>
      </w:r>
      <w:r w:rsidR="002D2E5A" w:rsidRPr="00A03EBF">
        <w:rPr>
          <w:rFonts w:eastAsia="Times New Roman"/>
          <w:lang w:eastAsia="en-GB"/>
        </w:rPr>
        <w:t xml:space="preserve"> </w:t>
      </w:r>
      <w:r w:rsidR="00832769" w:rsidRPr="00A03EBF">
        <w:rPr>
          <w:rFonts w:eastAsia="Times New Roman"/>
          <w:lang w:eastAsia="en-GB"/>
        </w:rPr>
        <w:t>hourly rate of</w:t>
      </w:r>
      <w:r w:rsidRPr="00A03EBF">
        <w:rPr>
          <w:rFonts w:eastAsia="Times New Roman"/>
          <w:lang w:eastAsia="en-GB"/>
        </w:rPr>
        <w:t xml:space="preserve"> between</w:t>
      </w:r>
      <w:r w:rsidR="00832769" w:rsidRPr="00A03EBF">
        <w:rPr>
          <w:rFonts w:eastAsia="Times New Roman"/>
          <w:lang w:eastAsia="en-GB"/>
        </w:rPr>
        <w:t xml:space="preserve"> </w:t>
      </w:r>
      <w:r w:rsidR="00832769" w:rsidRPr="008B5682">
        <w:rPr>
          <w:rFonts w:eastAsia="Times New Roman"/>
          <w:b/>
          <w:lang w:eastAsia="en-GB"/>
        </w:rPr>
        <w:t>£</w:t>
      </w:r>
      <w:r w:rsidR="009B1ADE" w:rsidRPr="008B5682">
        <w:rPr>
          <w:rFonts w:eastAsia="Times New Roman"/>
          <w:b/>
          <w:lang w:eastAsia="en-GB"/>
        </w:rPr>
        <w:t>9</w:t>
      </w:r>
      <w:r w:rsidR="00832769" w:rsidRPr="008B5682">
        <w:rPr>
          <w:rFonts w:eastAsia="Times New Roman"/>
          <w:b/>
          <w:lang w:eastAsia="en-GB"/>
        </w:rPr>
        <w:t>.</w:t>
      </w:r>
      <w:r w:rsidR="00DD5909" w:rsidRPr="008B5682">
        <w:rPr>
          <w:rFonts w:eastAsia="Times New Roman"/>
          <w:b/>
          <w:lang w:eastAsia="en-GB"/>
        </w:rPr>
        <w:t>00</w:t>
      </w:r>
      <w:r w:rsidRPr="008B5682">
        <w:rPr>
          <w:rFonts w:eastAsia="Times New Roman"/>
          <w:lang w:eastAsia="en-GB"/>
        </w:rPr>
        <w:t xml:space="preserve"> and </w:t>
      </w:r>
      <w:r w:rsidRPr="008B5682">
        <w:rPr>
          <w:rFonts w:eastAsia="Times New Roman"/>
          <w:b/>
          <w:lang w:eastAsia="en-GB"/>
        </w:rPr>
        <w:t>£1</w:t>
      </w:r>
      <w:r w:rsidR="009B1ADE" w:rsidRPr="008B5682">
        <w:rPr>
          <w:rFonts w:eastAsia="Times New Roman"/>
          <w:b/>
          <w:lang w:eastAsia="en-GB"/>
        </w:rPr>
        <w:t>8</w:t>
      </w:r>
      <w:r w:rsidRPr="008B5682">
        <w:rPr>
          <w:rFonts w:eastAsia="Times New Roman"/>
          <w:b/>
          <w:lang w:eastAsia="en-GB"/>
        </w:rPr>
        <w:t>.</w:t>
      </w:r>
      <w:r w:rsidR="00DD5909" w:rsidRPr="008B5682">
        <w:rPr>
          <w:rFonts w:eastAsia="Times New Roman"/>
          <w:b/>
          <w:lang w:eastAsia="en-GB"/>
        </w:rPr>
        <w:t>0</w:t>
      </w:r>
      <w:r w:rsidRPr="008B5682">
        <w:rPr>
          <w:rFonts w:eastAsia="Times New Roman"/>
          <w:b/>
          <w:lang w:eastAsia="en-GB"/>
        </w:rPr>
        <w:t>0</w:t>
      </w:r>
      <w:r w:rsidR="00832769" w:rsidRPr="00A03EBF">
        <w:rPr>
          <w:rFonts w:eastAsia="Times New Roman"/>
          <w:lang w:eastAsia="en-GB"/>
        </w:rPr>
        <w:t>.</w:t>
      </w:r>
      <w:r w:rsidR="00C751B5" w:rsidRPr="00A03EBF">
        <w:rPr>
          <w:rFonts w:eastAsia="Times New Roman"/>
          <w:lang w:eastAsia="en-GB"/>
        </w:rPr>
        <w:t xml:space="preserve"> </w:t>
      </w:r>
      <w:r w:rsidR="009C6A98" w:rsidRPr="00A03EBF">
        <w:rPr>
          <w:rFonts w:eastAsia="Times New Roman"/>
          <w:lang w:eastAsia="en-GB"/>
        </w:rPr>
        <w:t xml:space="preserve"> </w:t>
      </w:r>
      <w:r w:rsidR="00C751B5" w:rsidRPr="00A03EBF">
        <w:rPr>
          <w:rFonts w:eastAsia="Times New Roman"/>
          <w:lang w:eastAsia="en-GB"/>
        </w:rPr>
        <w:t>We reserve the right to amend fees to reflect market rates. There is</w:t>
      </w:r>
      <w:r w:rsidR="004A5C8B" w:rsidRPr="00A03EBF">
        <w:rPr>
          <w:rFonts w:eastAsia="Times New Roman"/>
          <w:lang w:eastAsia="en-GB"/>
        </w:rPr>
        <w:t xml:space="preserve"> no concessionary fee on </w:t>
      </w:r>
      <w:r w:rsidR="00592833" w:rsidRPr="00A03EBF">
        <w:rPr>
          <w:rFonts w:eastAsia="Times New Roman"/>
          <w:lang w:eastAsia="en-GB"/>
        </w:rPr>
        <w:t>full cost</w:t>
      </w:r>
      <w:r w:rsidR="004A5C8B" w:rsidRPr="00A03EBF">
        <w:rPr>
          <w:rFonts w:eastAsia="Times New Roman"/>
          <w:lang w:eastAsia="en-GB"/>
        </w:rPr>
        <w:t xml:space="preserve"> classes.  </w:t>
      </w:r>
    </w:p>
    <w:p w14:paraId="59A1862D" w14:textId="3AECC244" w:rsidR="001D4277" w:rsidRPr="00A03EBF" w:rsidRDefault="004A5C8B" w:rsidP="00466C6B">
      <w:pPr>
        <w:pStyle w:val="ListParagraph"/>
        <w:numPr>
          <w:ilvl w:val="0"/>
          <w:numId w:val="15"/>
        </w:numPr>
        <w:rPr>
          <w:rFonts w:eastAsia="Times New Roman"/>
          <w:lang w:eastAsia="en-GB"/>
        </w:rPr>
      </w:pPr>
      <w:r w:rsidRPr="00A03EBF">
        <w:rPr>
          <w:rFonts w:eastAsia="Times New Roman"/>
          <w:lang w:eastAsia="en-GB"/>
        </w:rPr>
        <w:t xml:space="preserve">Minimum numbers </w:t>
      </w:r>
      <w:r w:rsidR="00832769" w:rsidRPr="00A03EBF">
        <w:rPr>
          <w:rFonts w:eastAsia="Times New Roman"/>
          <w:lang w:eastAsia="en-GB"/>
        </w:rPr>
        <w:t xml:space="preserve">of learners on courses </w:t>
      </w:r>
      <w:r w:rsidRPr="00A03EBF">
        <w:rPr>
          <w:rFonts w:eastAsia="Times New Roman"/>
          <w:lang w:eastAsia="en-GB"/>
        </w:rPr>
        <w:t>will apply</w:t>
      </w:r>
      <w:r w:rsidR="00E762E1" w:rsidRPr="00A03EBF">
        <w:rPr>
          <w:rFonts w:eastAsia="Times New Roman"/>
          <w:lang w:eastAsia="en-GB"/>
        </w:rPr>
        <w:t xml:space="preserve"> to ensure these courses remain financially viable</w:t>
      </w:r>
      <w:r w:rsidRPr="00A03EBF">
        <w:rPr>
          <w:rFonts w:eastAsia="Times New Roman"/>
          <w:lang w:eastAsia="en-GB"/>
        </w:rPr>
        <w:t>.</w:t>
      </w:r>
    </w:p>
    <w:p w14:paraId="2C7D0315" w14:textId="77777777" w:rsidR="005D5749" w:rsidRDefault="005D5749" w:rsidP="00C751B5">
      <w:pPr>
        <w:spacing w:after="0" w:line="240" w:lineRule="auto"/>
        <w:rPr>
          <w:rFonts w:eastAsia="Times New Roman"/>
          <w:b/>
          <w:lang w:eastAsia="en-GB"/>
        </w:rPr>
      </w:pPr>
    </w:p>
    <w:p w14:paraId="42163A15" w14:textId="77777777" w:rsidR="005D5749" w:rsidRDefault="005D5749" w:rsidP="00C751B5">
      <w:pPr>
        <w:spacing w:after="0" w:line="240" w:lineRule="auto"/>
        <w:rPr>
          <w:rFonts w:eastAsia="Times New Roman"/>
          <w:b/>
          <w:lang w:eastAsia="en-GB"/>
        </w:rPr>
      </w:pPr>
    </w:p>
    <w:p w14:paraId="24A54943" w14:textId="52EBFB58" w:rsidR="0005463F" w:rsidRPr="006D25D8" w:rsidRDefault="00A03EBF" w:rsidP="00C751B5">
      <w:pPr>
        <w:spacing w:after="0" w:line="240" w:lineRule="auto"/>
        <w:rPr>
          <w:rFonts w:eastAsia="Times New Roman"/>
          <w:b/>
          <w:lang w:eastAsia="en-GB"/>
        </w:rPr>
      </w:pPr>
      <w:r>
        <w:rPr>
          <w:rFonts w:eastAsia="Times New Roman"/>
          <w:b/>
          <w:lang w:eastAsia="en-GB"/>
        </w:rPr>
        <w:lastRenderedPageBreak/>
        <w:t xml:space="preserve">7. </w:t>
      </w:r>
      <w:r w:rsidR="00D425B9" w:rsidRPr="00254B91">
        <w:rPr>
          <w:rFonts w:eastAsia="Times New Roman"/>
          <w:b/>
          <w:lang w:eastAsia="en-GB"/>
        </w:rPr>
        <w:t>Discounts</w:t>
      </w:r>
      <w:r w:rsidR="00D425B9" w:rsidRPr="006D25D8">
        <w:rPr>
          <w:rFonts w:eastAsia="Times New Roman"/>
          <w:b/>
          <w:lang w:eastAsia="en-GB"/>
        </w:rPr>
        <w:t xml:space="preserve"> and incentives</w:t>
      </w:r>
      <w:r w:rsidR="006D0C05" w:rsidRPr="006D25D8">
        <w:rPr>
          <w:rFonts w:eastAsia="Times New Roman"/>
          <w:b/>
          <w:lang w:eastAsia="en-GB"/>
        </w:rPr>
        <w:t xml:space="preserve"> on </w:t>
      </w:r>
      <w:r w:rsidR="00832769" w:rsidRPr="006D25D8">
        <w:rPr>
          <w:rFonts w:eastAsia="Times New Roman"/>
          <w:b/>
          <w:lang w:eastAsia="en-GB"/>
        </w:rPr>
        <w:t>non</w:t>
      </w:r>
      <w:r w:rsidR="00E10F0F" w:rsidRPr="006D25D8">
        <w:rPr>
          <w:rFonts w:eastAsia="Times New Roman"/>
          <w:b/>
          <w:lang w:eastAsia="en-GB"/>
        </w:rPr>
        <w:t>-</w:t>
      </w:r>
      <w:r w:rsidR="00832769" w:rsidRPr="006D25D8">
        <w:rPr>
          <w:rFonts w:eastAsia="Times New Roman"/>
          <w:b/>
          <w:lang w:eastAsia="en-GB"/>
        </w:rPr>
        <w:t xml:space="preserve">accredited </w:t>
      </w:r>
      <w:r w:rsidR="006D0C05" w:rsidRPr="006D25D8">
        <w:rPr>
          <w:rFonts w:eastAsia="Times New Roman"/>
          <w:b/>
          <w:lang w:eastAsia="en-GB"/>
        </w:rPr>
        <w:t>courses</w:t>
      </w:r>
    </w:p>
    <w:p w14:paraId="73F84BCE" w14:textId="47349E6C" w:rsidR="00D425B9" w:rsidRDefault="00D425B9" w:rsidP="00D914B8">
      <w:pPr>
        <w:spacing w:after="0" w:line="240" w:lineRule="auto"/>
        <w:rPr>
          <w:rFonts w:eastAsia="Times New Roman"/>
          <w:b/>
          <w:lang w:eastAsia="en-GB"/>
        </w:rPr>
      </w:pPr>
    </w:p>
    <w:p w14:paraId="4FE2E706" w14:textId="69335D9D" w:rsidR="004A35F7" w:rsidRDefault="004A35F7" w:rsidP="00751EC4">
      <w:pPr>
        <w:pStyle w:val="ListParagraph"/>
        <w:numPr>
          <w:ilvl w:val="0"/>
          <w:numId w:val="22"/>
        </w:numPr>
        <w:spacing w:after="0" w:line="240" w:lineRule="auto"/>
        <w:rPr>
          <w:rFonts w:eastAsia="Times New Roman"/>
          <w:lang w:eastAsia="en-GB"/>
        </w:rPr>
      </w:pPr>
      <w:r>
        <w:rPr>
          <w:rFonts w:eastAsia="Times New Roman"/>
          <w:lang w:eastAsia="en-GB"/>
        </w:rPr>
        <w:t>Early Bird – 10% discount available on course fees for enrolments on or before 16 August 2024</w:t>
      </w:r>
    </w:p>
    <w:p w14:paraId="48AE5D04" w14:textId="1C95059D" w:rsidR="00751EC4" w:rsidRDefault="004A35F7" w:rsidP="00751EC4">
      <w:pPr>
        <w:pStyle w:val="ListParagraph"/>
        <w:numPr>
          <w:ilvl w:val="0"/>
          <w:numId w:val="22"/>
        </w:numPr>
        <w:spacing w:after="0" w:line="240" w:lineRule="auto"/>
        <w:rPr>
          <w:rFonts w:eastAsia="Times New Roman"/>
          <w:lang w:eastAsia="en-GB"/>
        </w:rPr>
      </w:pPr>
      <w:r>
        <w:rPr>
          <w:rFonts w:eastAsia="Times New Roman"/>
          <w:lang w:eastAsia="en-GB"/>
        </w:rPr>
        <w:t>Returning Learners – 5% discount available on course fees for further enrolment, upon completion</w:t>
      </w:r>
      <w:r w:rsidR="00254B91">
        <w:rPr>
          <w:rFonts w:eastAsia="Times New Roman"/>
          <w:lang w:eastAsia="en-GB"/>
        </w:rPr>
        <w:t xml:space="preserve"> of a course, within an academic year</w:t>
      </w:r>
    </w:p>
    <w:p w14:paraId="50987955" w14:textId="56213E65" w:rsidR="004A35F7" w:rsidRPr="00751EC4" w:rsidRDefault="004A35F7" w:rsidP="00751EC4">
      <w:pPr>
        <w:pStyle w:val="ListParagraph"/>
        <w:numPr>
          <w:ilvl w:val="0"/>
          <w:numId w:val="22"/>
        </w:numPr>
        <w:spacing w:after="0" w:line="240" w:lineRule="auto"/>
        <w:rPr>
          <w:rFonts w:eastAsia="Times New Roman"/>
          <w:lang w:eastAsia="en-GB"/>
        </w:rPr>
      </w:pPr>
      <w:r>
        <w:rPr>
          <w:rFonts w:eastAsia="Times New Roman"/>
          <w:lang w:eastAsia="en-GB"/>
        </w:rPr>
        <w:t>Multi-term enrolment – 15% discount available for enrolling on all progressing levels of the same course</w:t>
      </w:r>
    </w:p>
    <w:p w14:paraId="17810E15" w14:textId="223EF971" w:rsidR="00D914B8" w:rsidRDefault="004A35F7" w:rsidP="00751EC4">
      <w:pPr>
        <w:spacing w:after="0" w:line="240" w:lineRule="auto"/>
        <w:ind w:left="360"/>
        <w:rPr>
          <w:rFonts w:eastAsia="Times New Roman"/>
          <w:lang w:eastAsia="en-GB"/>
        </w:rPr>
      </w:pPr>
      <w:r>
        <w:rPr>
          <w:rFonts w:eastAsia="Times New Roman"/>
          <w:lang w:eastAsia="en-GB"/>
        </w:rPr>
        <w:t>d</w:t>
      </w:r>
      <w:r w:rsidR="00751EC4">
        <w:rPr>
          <w:rFonts w:eastAsia="Times New Roman"/>
          <w:lang w:eastAsia="en-GB"/>
        </w:rPr>
        <w:t>.</w:t>
      </w:r>
      <w:r w:rsidR="00751EC4">
        <w:rPr>
          <w:rFonts w:eastAsia="Times New Roman"/>
          <w:lang w:eastAsia="en-GB"/>
        </w:rPr>
        <w:tab/>
      </w:r>
      <w:r w:rsidR="00D914B8" w:rsidRPr="00751EC4">
        <w:rPr>
          <w:rFonts w:eastAsia="Times New Roman"/>
          <w:lang w:eastAsia="en-GB"/>
        </w:rPr>
        <w:t xml:space="preserve">At the discretion of the </w:t>
      </w:r>
      <w:r w:rsidR="002A27A2" w:rsidRPr="00751EC4">
        <w:rPr>
          <w:rFonts w:eastAsia="Times New Roman"/>
          <w:lang w:eastAsia="en-GB"/>
        </w:rPr>
        <w:t>Principal</w:t>
      </w:r>
      <w:r w:rsidR="001F3023" w:rsidRPr="00751EC4">
        <w:rPr>
          <w:rFonts w:eastAsia="Times New Roman"/>
          <w:lang w:eastAsia="en-GB"/>
        </w:rPr>
        <w:t>,</w:t>
      </w:r>
      <w:r w:rsidR="00D914B8" w:rsidRPr="00751EC4">
        <w:rPr>
          <w:rFonts w:eastAsia="Times New Roman"/>
          <w:lang w:eastAsia="en-GB"/>
        </w:rPr>
        <w:t xml:space="preserve"> specific and targeted discounts or incentives may be agreed and marketed</w:t>
      </w:r>
      <w:r w:rsidR="00696C2B" w:rsidRPr="00751EC4">
        <w:rPr>
          <w:rFonts w:eastAsia="Times New Roman"/>
          <w:lang w:eastAsia="en-GB"/>
        </w:rPr>
        <w:t xml:space="preserve"> throughout the year</w:t>
      </w:r>
      <w:r w:rsidR="003C5932" w:rsidRPr="00751EC4">
        <w:rPr>
          <w:rFonts w:eastAsia="Times New Roman"/>
          <w:lang w:eastAsia="en-GB"/>
        </w:rPr>
        <w:t xml:space="preserve"> up to a value of 20%</w:t>
      </w:r>
      <w:r w:rsidR="00D914B8" w:rsidRPr="00751EC4">
        <w:rPr>
          <w:rFonts w:eastAsia="Times New Roman"/>
          <w:lang w:eastAsia="en-GB"/>
        </w:rPr>
        <w:t>.</w:t>
      </w:r>
      <w:r w:rsidR="003C5932" w:rsidRPr="00751EC4">
        <w:rPr>
          <w:rFonts w:eastAsia="Times New Roman"/>
          <w:lang w:eastAsia="en-GB"/>
        </w:rPr>
        <w:t xml:space="preserve"> Any discounts or incentives over 20% will require prior approval from Southend </w:t>
      </w:r>
      <w:r w:rsidR="00751EC4" w:rsidRPr="00751EC4">
        <w:rPr>
          <w:rFonts w:eastAsia="Times New Roman"/>
          <w:lang w:eastAsia="en-GB"/>
        </w:rPr>
        <w:t>City</w:t>
      </w:r>
      <w:r w:rsidR="003C5932" w:rsidRPr="00751EC4">
        <w:rPr>
          <w:rFonts w:eastAsia="Times New Roman"/>
          <w:lang w:eastAsia="en-GB"/>
        </w:rPr>
        <w:t xml:space="preserve"> Council.</w:t>
      </w:r>
    </w:p>
    <w:p w14:paraId="25CECD84" w14:textId="77777777" w:rsidR="004A35F7" w:rsidRDefault="004A35F7" w:rsidP="00751EC4">
      <w:pPr>
        <w:spacing w:after="0" w:line="240" w:lineRule="auto"/>
        <w:ind w:left="360"/>
        <w:rPr>
          <w:rFonts w:eastAsia="Times New Roman"/>
          <w:i/>
          <w:lang w:eastAsia="en-GB"/>
        </w:rPr>
      </w:pPr>
    </w:p>
    <w:p w14:paraId="0F11ABEA" w14:textId="77777777" w:rsidR="00254B91" w:rsidRDefault="004A35F7" w:rsidP="00751EC4">
      <w:pPr>
        <w:spacing w:after="0" w:line="240" w:lineRule="auto"/>
        <w:ind w:left="360"/>
        <w:rPr>
          <w:rFonts w:eastAsia="Times New Roman"/>
          <w:i/>
          <w:lang w:eastAsia="en-GB"/>
        </w:rPr>
      </w:pPr>
      <w:r>
        <w:rPr>
          <w:rFonts w:eastAsia="Times New Roman"/>
          <w:i/>
          <w:lang w:eastAsia="en-GB"/>
        </w:rPr>
        <w:t>Note</w:t>
      </w:r>
      <w:r w:rsidR="00254B91">
        <w:rPr>
          <w:rFonts w:eastAsia="Times New Roman"/>
          <w:i/>
          <w:lang w:eastAsia="en-GB"/>
        </w:rPr>
        <w:t>s</w:t>
      </w:r>
      <w:r>
        <w:rPr>
          <w:rFonts w:eastAsia="Times New Roman"/>
          <w:i/>
          <w:lang w:eastAsia="en-GB"/>
        </w:rPr>
        <w:t xml:space="preserve">: </w:t>
      </w:r>
    </w:p>
    <w:p w14:paraId="64F4386B" w14:textId="33FCF82A" w:rsidR="004A35F7" w:rsidRPr="005F4D37" w:rsidRDefault="004A35F7" w:rsidP="005F4D37">
      <w:pPr>
        <w:pStyle w:val="ListParagraph"/>
        <w:numPr>
          <w:ilvl w:val="0"/>
          <w:numId w:val="23"/>
        </w:numPr>
        <w:spacing w:after="0" w:line="240" w:lineRule="auto"/>
        <w:rPr>
          <w:rFonts w:eastAsia="Times New Roman"/>
          <w:i/>
          <w:lang w:eastAsia="en-GB"/>
        </w:rPr>
      </w:pPr>
      <w:r w:rsidRPr="005F4D37">
        <w:rPr>
          <w:rFonts w:eastAsia="Times New Roman"/>
          <w:i/>
          <w:lang w:eastAsia="en-GB"/>
        </w:rPr>
        <w:t>Maximum of one discount per enrolment</w:t>
      </w:r>
    </w:p>
    <w:p w14:paraId="0AC93A07" w14:textId="1425A1FC" w:rsidR="00254B91" w:rsidRPr="005F4D37" w:rsidRDefault="00254B91" w:rsidP="005F4D37">
      <w:pPr>
        <w:pStyle w:val="ListParagraph"/>
        <w:numPr>
          <w:ilvl w:val="0"/>
          <w:numId w:val="23"/>
        </w:numPr>
        <w:spacing w:after="0" w:line="240" w:lineRule="auto"/>
        <w:rPr>
          <w:rFonts w:eastAsia="Times New Roman"/>
          <w:i/>
          <w:lang w:eastAsia="en-GB"/>
        </w:rPr>
      </w:pPr>
      <w:r w:rsidRPr="005F4D37">
        <w:rPr>
          <w:rFonts w:eastAsia="Times New Roman"/>
          <w:i/>
          <w:lang w:eastAsia="en-GB"/>
        </w:rPr>
        <w:t>Benefit concessions are not eligible for the above discounts</w:t>
      </w:r>
    </w:p>
    <w:p w14:paraId="1B92542A" w14:textId="77777777" w:rsidR="00572A9A" w:rsidRDefault="00572A9A" w:rsidP="00C751B5">
      <w:pPr>
        <w:spacing w:after="0" w:line="240" w:lineRule="auto"/>
        <w:rPr>
          <w:rFonts w:eastAsia="Times New Roman"/>
          <w:b/>
          <w:lang w:eastAsia="en-GB"/>
        </w:rPr>
      </w:pPr>
    </w:p>
    <w:p w14:paraId="784829C1" w14:textId="32F2C7D8" w:rsidR="00E55659" w:rsidRPr="00BF0561" w:rsidRDefault="00A03EBF" w:rsidP="00C751B5">
      <w:pPr>
        <w:spacing w:after="0" w:line="240" w:lineRule="auto"/>
        <w:rPr>
          <w:rFonts w:eastAsia="Times New Roman"/>
          <w:b/>
          <w:lang w:eastAsia="en-GB"/>
        </w:rPr>
      </w:pPr>
      <w:r>
        <w:rPr>
          <w:rFonts w:eastAsia="Times New Roman"/>
          <w:b/>
          <w:lang w:eastAsia="en-GB"/>
        </w:rPr>
        <w:t>8.</w:t>
      </w:r>
      <w:r w:rsidR="00A82A34" w:rsidRPr="00BF0561">
        <w:rPr>
          <w:rFonts w:eastAsia="Times New Roman"/>
          <w:b/>
          <w:lang w:eastAsia="en-GB"/>
        </w:rPr>
        <w:t>C</w:t>
      </w:r>
      <w:r w:rsidR="00E55659" w:rsidRPr="00BF0561">
        <w:rPr>
          <w:rFonts w:eastAsia="Times New Roman"/>
          <w:b/>
          <w:lang w:eastAsia="en-GB"/>
        </w:rPr>
        <w:t>ourses for employers and businesses</w:t>
      </w:r>
    </w:p>
    <w:p w14:paraId="0376BA64" w14:textId="77777777" w:rsidR="00E55659" w:rsidRPr="00BF0561" w:rsidRDefault="00E55659" w:rsidP="00E55659">
      <w:pPr>
        <w:spacing w:after="0" w:line="240" w:lineRule="auto"/>
        <w:rPr>
          <w:rFonts w:eastAsia="Times New Roman"/>
          <w:b/>
          <w:highlight w:val="yellow"/>
          <w:lang w:eastAsia="en-GB"/>
        </w:rPr>
      </w:pPr>
    </w:p>
    <w:p w14:paraId="7CD949BE" w14:textId="206A66F7" w:rsidR="00DB3C81" w:rsidRPr="00A03EBF" w:rsidRDefault="003C5932" w:rsidP="00466C6B">
      <w:pPr>
        <w:pStyle w:val="ListParagraph"/>
        <w:numPr>
          <w:ilvl w:val="0"/>
          <w:numId w:val="17"/>
        </w:numPr>
        <w:spacing w:after="0" w:line="240" w:lineRule="auto"/>
        <w:rPr>
          <w:rFonts w:eastAsia="Times New Roman"/>
          <w:lang w:eastAsia="en-GB"/>
        </w:rPr>
      </w:pPr>
      <w:r w:rsidRPr="00A03EBF">
        <w:rPr>
          <w:rFonts w:eastAsia="Times New Roman"/>
          <w:lang w:eastAsia="en-GB"/>
        </w:rPr>
        <w:t>Tailored</w:t>
      </w:r>
      <w:r w:rsidR="00E55659" w:rsidRPr="00A03EBF">
        <w:rPr>
          <w:rFonts w:eastAsia="Times New Roman"/>
          <w:lang w:eastAsia="en-GB"/>
        </w:rPr>
        <w:t xml:space="preserve"> courses for employers</w:t>
      </w:r>
      <w:r w:rsidR="00FC4DA7" w:rsidRPr="00A03EBF">
        <w:rPr>
          <w:rFonts w:eastAsia="Times New Roman"/>
          <w:lang w:eastAsia="en-GB"/>
        </w:rPr>
        <w:t>,</w:t>
      </w:r>
      <w:r w:rsidR="00F40CB5" w:rsidRPr="00A03EBF">
        <w:rPr>
          <w:rFonts w:eastAsia="Times New Roman"/>
          <w:lang w:eastAsia="en-GB"/>
        </w:rPr>
        <w:t xml:space="preserve"> businesses</w:t>
      </w:r>
      <w:r w:rsidR="00FC4DA7" w:rsidRPr="00A03EBF">
        <w:rPr>
          <w:rFonts w:eastAsia="Times New Roman"/>
          <w:lang w:eastAsia="en-GB"/>
        </w:rPr>
        <w:t xml:space="preserve"> and charities</w:t>
      </w:r>
      <w:r w:rsidR="00E55659" w:rsidRPr="00A03EBF">
        <w:rPr>
          <w:rFonts w:eastAsia="Times New Roman"/>
          <w:lang w:eastAsia="en-GB"/>
        </w:rPr>
        <w:t xml:space="preserve"> offered by </w:t>
      </w:r>
      <w:r w:rsidR="00C93320" w:rsidRPr="00A03EBF">
        <w:rPr>
          <w:rFonts w:eastAsia="Times New Roman"/>
          <w:lang w:eastAsia="en-GB"/>
        </w:rPr>
        <w:t>the college</w:t>
      </w:r>
      <w:r w:rsidR="0004108F" w:rsidRPr="00A03EBF">
        <w:rPr>
          <w:rFonts w:eastAsia="Times New Roman"/>
          <w:lang w:eastAsia="en-GB"/>
        </w:rPr>
        <w:t xml:space="preserve"> will be costed and charg</w:t>
      </w:r>
      <w:r w:rsidR="00832769" w:rsidRPr="00A03EBF">
        <w:rPr>
          <w:rFonts w:eastAsia="Times New Roman"/>
          <w:lang w:eastAsia="en-GB"/>
        </w:rPr>
        <w:t xml:space="preserve">ed </w:t>
      </w:r>
      <w:r w:rsidR="00A82A34" w:rsidRPr="00A03EBF">
        <w:rPr>
          <w:rFonts w:eastAsia="Times New Roman"/>
          <w:lang w:eastAsia="en-GB"/>
        </w:rPr>
        <w:t>at</w:t>
      </w:r>
      <w:r w:rsidRPr="00A03EBF">
        <w:rPr>
          <w:rFonts w:eastAsia="Times New Roman"/>
          <w:lang w:eastAsia="en-GB"/>
        </w:rPr>
        <w:t xml:space="preserve"> a</w:t>
      </w:r>
      <w:r w:rsidR="00A82A34" w:rsidRPr="00A03EBF">
        <w:rPr>
          <w:rFonts w:eastAsia="Times New Roman"/>
          <w:lang w:eastAsia="en-GB"/>
        </w:rPr>
        <w:t xml:space="preserve"> </w:t>
      </w:r>
      <w:r w:rsidRPr="00A03EBF">
        <w:rPr>
          <w:rFonts w:eastAsia="Times New Roman"/>
          <w:lang w:eastAsia="en-GB"/>
        </w:rPr>
        <w:t>commercial or subsidised</w:t>
      </w:r>
      <w:r w:rsidR="00A82A34" w:rsidRPr="00A03EBF">
        <w:rPr>
          <w:rFonts w:eastAsia="Times New Roman"/>
          <w:lang w:eastAsia="en-GB"/>
        </w:rPr>
        <w:t xml:space="preserve"> rate</w:t>
      </w:r>
      <w:r w:rsidRPr="00A03EBF">
        <w:rPr>
          <w:rFonts w:eastAsia="Times New Roman"/>
          <w:lang w:eastAsia="en-GB"/>
        </w:rPr>
        <w:t xml:space="preserve"> as set out in the fee policy</w:t>
      </w:r>
      <w:r w:rsidR="008D5556" w:rsidRPr="00A03EBF">
        <w:rPr>
          <w:rFonts w:eastAsia="Times New Roman"/>
          <w:lang w:eastAsia="en-GB"/>
        </w:rPr>
        <w:t>.</w:t>
      </w:r>
      <w:r w:rsidR="00A82A34" w:rsidRPr="00A03EBF">
        <w:rPr>
          <w:rFonts w:eastAsia="Times New Roman"/>
          <w:lang w:eastAsia="en-GB"/>
        </w:rPr>
        <w:t xml:space="preserve"> Course costs may include exam fees, room hire, refreshments and resources</w:t>
      </w:r>
      <w:r w:rsidR="00BC1B08" w:rsidRPr="00A03EBF">
        <w:rPr>
          <w:rFonts w:eastAsia="Times New Roman"/>
          <w:lang w:eastAsia="en-GB"/>
        </w:rPr>
        <w:t>.</w:t>
      </w:r>
      <w:r w:rsidR="00FC4DA7" w:rsidRPr="00A03EBF">
        <w:rPr>
          <w:rFonts w:eastAsia="Times New Roman"/>
          <w:lang w:eastAsia="en-GB"/>
        </w:rPr>
        <w:t xml:space="preserve">  </w:t>
      </w:r>
    </w:p>
    <w:p w14:paraId="36EEFFCD" w14:textId="77777777" w:rsidR="00D902D1" w:rsidRPr="00BF0561" w:rsidRDefault="00D902D1" w:rsidP="00C751B5">
      <w:pPr>
        <w:spacing w:after="0" w:line="240" w:lineRule="auto"/>
        <w:rPr>
          <w:rFonts w:eastAsia="Times New Roman"/>
          <w:b/>
          <w:lang w:eastAsia="en-GB"/>
        </w:rPr>
      </w:pPr>
    </w:p>
    <w:p w14:paraId="09D82608" w14:textId="58B80AEF" w:rsidR="00FF67C8" w:rsidRDefault="00A03EBF" w:rsidP="00C751B5">
      <w:pPr>
        <w:spacing w:after="0" w:line="240" w:lineRule="auto"/>
        <w:rPr>
          <w:rFonts w:eastAsia="Times New Roman"/>
          <w:b/>
          <w:lang w:eastAsia="en-GB"/>
        </w:rPr>
      </w:pPr>
      <w:r>
        <w:rPr>
          <w:rFonts w:eastAsia="Times New Roman"/>
          <w:b/>
          <w:lang w:eastAsia="en-GB"/>
        </w:rPr>
        <w:t>9.</w:t>
      </w:r>
      <w:r w:rsidR="00FF67C8" w:rsidRPr="00BF0561">
        <w:rPr>
          <w:rFonts w:eastAsia="Times New Roman"/>
          <w:b/>
          <w:lang w:eastAsia="en-GB"/>
        </w:rPr>
        <w:t>Online</w:t>
      </w:r>
      <w:r w:rsidR="00BC2A4E">
        <w:rPr>
          <w:rFonts w:eastAsia="Times New Roman"/>
          <w:b/>
          <w:lang w:eastAsia="en-GB"/>
        </w:rPr>
        <w:t xml:space="preserve"> and Blended learning</w:t>
      </w:r>
      <w:r w:rsidR="00FF67C8" w:rsidRPr="00BF0561">
        <w:rPr>
          <w:rFonts w:eastAsia="Times New Roman"/>
          <w:b/>
          <w:lang w:eastAsia="en-GB"/>
        </w:rPr>
        <w:t xml:space="preserve"> courses</w:t>
      </w:r>
    </w:p>
    <w:p w14:paraId="4437AA1E" w14:textId="77777777" w:rsidR="00B35CEC" w:rsidRDefault="00B35CEC" w:rsidP="00C751B5">
      <w:pPr>
        <w:spacing w:after="0" w:line="240" w:lineRule="auto"/>
        <w:rPr>
          <w:rFonts w:eastAsia="Times New Roman"/>
          <w:b/>
          <w:lang w:eastAsia="en-GB"/>
        </w:rPr>
      </w:pPr>
    </w:p>
    <w:p w14:paraId="268616FE" w14:textId="7E2D0D71" w:rsidR="00B35CEC" w:rsidRPr="00A03EBF" w:rsidRDefault="00B35CEC" w:rsidP="00466C6B">
      <w:pPr>
        <w:pStyle w:val="ListParagraph"/>
        <w:numPr>
          <w:ilvl w:val="0"/>
          <w:numId w:val="18"/>
        </w:numPr>
        <w:spacing w:after="0" w:line="240" w:lineRule="auto"/>
        <w:rPr>
          <w:rFonts w:eastAsia="Times New Roman"/>
          <w:lang w:eastAsia="en-GB"/>
        </w:rPr>
      </w:pPr>
      <w:r w:rsidRPr="00A03EBF">
        <w:rPr>
          <w:rFonts w:eastAsia="Times New Roman"/>
          <w:lang w:eastAsia="en-GB"/>
        </w:rPr>
        <w:t>The college is committed to ensuring that we reduce the digital divide and funding may be available to provide access to digital resources to support online and blended learning.</w:t>
      </w:r>
    </w:p>
    <w:p w14:paraId="012CDCCD" w14:textId="77777777" w:rsidR="00FF67C8" w:rsidRPr="00BF0561" w:rsidRDefault="00FF67C8" w:rsidP="00FF67C8">
      <w:pPr>
        <w:spacing w:after="0" w:line="240" w:lineRule="auto"/>
        <w:rPr>
          <w:rFonts w:eastAsia="Times New Roman"/>
          <w:lang w:eastAsia="en-GB"/>
        </w:rPr>
      </w:pPr>
    </w:p>
    <w:p w14:paraId="311F65BD" w14:textId="412F51FD" w:rsidR="00B35CEC" w:rsidRPr="00B35CEC" w:rsidRDefault="00BC2A4E" w:rsidP="00466C6B">
      <w:pPr>
        <w:pStyle w:val="ListParagraph"/>
        <w:numPr>
          <w:ilvl w:val="0"/>
          <w:numId w:val="11"/>
        </w:numPr>
        <w:spacing w:after="0" w:line="240" w:lineRule="auto"/>
        <w:rPr>
          <w:rFonts w:eastAsia="Times New Roman"/>
          <w:lang w:eastAsia="en-GB"/>
        </w:rPr>
      </w:pPr>
      <w:r w:rsidRPr="00BC2A4E">
        <w:rPr>
          <w:rFonts w:eastAsia="Times New Roman"/>
          <w:lang w:eastAsia="en-GB"/>
        </w:rPr>
        <w:t>Fee rates for online and</w:t>
      </w:r>
      <w:r w:rsidR="001039E0">
        <w:rPr>
          <w:rFonts w:eastAsia="Times New Roman"/>
          <w:lang w:eastAsia="en-GB"/>
        </w:rPr>
        <w:t xml:space="preserve"> blended learning courses will b</w:t>
      </w:r>
      <w:r w:rsidRPr="00BC2A4E">
        <w:rPr>
          <w:rFonts w:eastAsia="Times New Roman"/>
          <w:lang w:eastAsia="en-GB"/>
        </w:rPr>
        <w:t xml:space="preserve">e </w:t>
      </w:r>
      <w:r w:rsidR="001039E0" w:rsidRPr="00BC2A4E">
        <w:rPr>
          <w:rFonts w:eastAsia="Times New Roman"/>
          <w:lang w:eastAsia="en-GB"/>
        </w:rPr>
        <w:t>dependent</w:t>
      </w:r>
      <w:r w:rsidRPr="00BC2A4E">
        <w:rPr>
          <w:rFonts w:eastAsia="Times New Roman"/>
          <w:lang w:eastAsia="en-GB"/>
        </w:rPr>
        <w:t xml:space="preserve"> on</w:t>
      </w:r>
      <w:r w:rsidR="00DC729E">
        <w:rPr>
          <w:rFonts w:eastAsia="Times New Roman"/>
          <w:lang w:eastAsia="en-GB"/>
        </w:rPr>
        <w:t xml:space="preserve"> the</w:t>
      </w:r>
      <w:r w:rsidRPr="00BC2A4E">
        <w:rPr>
          <w:rFonts w:eastAsia="Times New Roman"/>
          <w:lang w:eastAsia="en-GB"/>
        </w:rPr>
        <w:t xml:space="preserve"> course and level as set out.</w:t>
      </w:r>
    </w:p>
    <w:p w14:paraId="1C8EBF28" w14:textId="77777777" w:rsidR="006E45A9" w:rsidRPr="00BF0561" w:rsidRDefault="006E45A9" w:rsidP="00DB3C81">
      <w:pPr>
        <w:spacing w:after="0" w:line="240" w:lineRule="auto"/>
        <w:rPr>
          <w:rFonts w:eastAsia="Times New Roman"/>
          <w:b/>
          <w:lang w:eastAsia="en-GB"/>
        </w:rPr>
      </w:pPr>
    </w:p>
    <w:p w14:paraId="2B48290D" w14:textId="69401351" w:rsidR="00BD2523" w:rsidRPr="00BF0561" w:rsidRDefault="00A03EBF" w:rsidP="00DB3C81">
      <w:pPr>
        <w:spacing w:after="0" w:line="240" w:lineRule="auto"/>
        <w:rPr>
          <w:rFonts w:eastAsia="Times New Roman"/>
          <w:b/>
          <w:lang w:eastAsia="en-GB"/>
        </w:rPr>
      </w:pPr>
      <w:r>
        <w:rPr>
          <w:rFonts w:eastAsia="Times New Roman"/>
          <w:b/>
          <w:lang w:eastAsia="en-GB"/>
        </w:rPr>
        <w:t>10.</w:t>
      </w:r>
      <w:r w:rsidR="002B5417" w:rsidRPr="00BF0561">
        <w:rPr>
          <w:rFonts w:eastAsia="Times New Roman"/>
          <w:b/>
          <w:lang w:eastAsia="en-GB"/>
        </w:rPr>
        <w:t>Pound Plus</w:t>
      </w:r>
    </w:p>
    <w:p w14:paraId="0A5BACCF" w14:textId="77777777" w:rsidR="00A07D8D" w:rsidRPr="00BF0561" w:rsidRDefault="00A07D8D" w:rsidP="00DB3C81">
      <w:pPr>
        <w:spacing w:after="0" w:line="240" w:lineRule="auto"/>
        <w:rPr>
          <w:rFonts w:eastAsia="Times New Roman"/>
          <w:b/>
          <w:lang w:eastAsia="en-GB"/>
        </w:rPr>
      </w:pPr>
    </w:p>
    <w:p w14:paraId="7A012B31" w14:textId="70900302" w:rsidR="00B52394" w:rsidRPr="00BF0561" w:rsidRDefault="00B52394" w:rsidP="00466C6B">
      <w:pPr>
        <w:pStyle w:val="ListParagraph"/>
        <w:numPr>
          <w:ilvl w:val="0"/>
          <w:numId w:val="19"/>
        </w:numPr>
      </w:pPr>
      <w:r w:rsidRPr="00BF0561">
        <w:t xml:space="preserve">Pound Plus refers to the generation of additional income over and above the core grant funding providers receive from the Education &amp; Skills Funding Agency (ESFA) through the Adult </w:t>
      </w:r>
      <w:r w:rsidR="001447CD">
        <w:t>Skills Fund</w:t>
      </w:r>
      <w:r w:rsidR="005F4D2F">
        <w:t xml:space="preserve"> (ASF)</w:t>
      </w:r>
      <w:r w:rsidRPr="00BF0561">
        <w:t>. Pound Plus describes how learning providers demonstrate that they are maximising the value of the public investment into adult education. This can be achieved by either generating additional income or greater efficiency of educational delivery by providing access to learning to more individuals at no extra cost.</w:t>
      </w:r>
    </w:p>
    <w:p w14:paraId="19E302E2" w14:textId="1F163B58" w:rsidR="00B52394" w:rsidRPr="00BF0561" w:rsidRDefault="00B52394" w:rsidP="00B52394">
      <w:r w:rsidRPr="00BF0561">
        <w:t xml:space="preserve">In addition to core grant funding </w:t>
      </w:r>
      <w:r w:rsidR="00D96F73">
        <w:t xml:space="preserve">the college </w:t>
      </w:r>
      <w:r w:rsidRPr="00BF0561">
        <w:t>generates additional income or cost saving in the followin</w:t>
      </w:r>
      <w:r w:rsidRPr="00E74A27">
        <w:t>g</w:t>
      </w:r>
      <w:r w:rsidR="00E74A27" w:rsidRPr="00E74A27">
        <w:t>:</w:t>
      </w:r>
    </w:p>
    <w:p w14:paraId="34F24E93" w14:textId="77777777" w:rsidR="00B52394" w:rsidRPr="00BF0561" w:rsidRDefault="00B52394" w:rsidP="00466C6B">
      <w:pPr>
        <w:pStyle w:val="ListParagraph"/>
        <w:numPr>
          <w:ilvl w:val="0"/>
          <w:numId w:val="7"/>
        </w:numPr>
        <w:spacing w:after="0" w:line="259" w:lineRule="auto"/>
      </w:pPr>
      <w:r w:rsidRPr="00BF0561">
        <w:t>By charging a tuition fee with concessions for those on low income or benefits.</w:t>
      </w:r>
    </w:p>
    <w:p w14:paraId="4EBD3944" w14:textId="77777777" w:rsidR="00B52394" w:rsidRPr="00BF0561" w:rsidRDefault="00B52394" w:rsidP="00466C6B">
      <w:pPr>
        <w:pStyle w:val="ListParagraph"/>
        <w:numPr>
          <w:ilvl w:val="0"/>
          <w:numId w:val="7"/>
        </w:numPr>
        <w:spacing w:after="0" w:line="259" w:lineRule="auto"/>
      </w:pPr>
      <w:r w:rsidRPr="00BF0561">
        <w:lastRenderedPageBreak/>
        <w:t>Working with other partners on specific areas of provision or within specific geographical locations to ensure that learning reaches those with the greatest need.</w:t>
      </w:r>
    </w:p>
    <w:p w14:paraId="4C4AB3B4" w14:textId="77777777" w:rsidR="00B52394" w:rsidRPr="00BF0561" w:rsidRDefault="00B52394" w:rsidP="00466C6B">
      <w:pPr>
        <w:pStyle w:val="ListParagraph"/>
        <w:numPr>
          <w:ilvl w:val="0"/>
          <w:numId w:val="7"/>
        </w:numPr>
        <w:spacing w:after="0" w:line="259" w:lineRule="auto"/>
      </w:pPr>
      <w:r w:rsidRPr="00BF0561">
        <w:t>Use of volunteers.</w:t>
      </w:r>
    </w:p>
    <w:p w14:paraId="68DCDD99" w14:textId="77777777" w:rsidR="00B52394" w:rsidRPr="00BF0561" w:rsidRDefault="00B52394" w:rsidP="00466C6B">
      <w:pPr>
        <w:pStyle w:val="ListParagraph"/>
        <w:numPr>
          <w:ilvl w:val="0"/>
          <w:numId w:val="7"/>
        </w:numPr>
        <w:spacing w:after="0" w:line="259" w:lineRule="auto"/>
      </w:pPr>
      <w:r w:rsidRPr="00BF0561">
        <w:t>Additional income from educational activities working with external partners.</w:t>
      </w:r>
    </w:p>
    <w:p w14:paraId="7C2E3548" w14:textId="77777777" w:rsidR="00B52394" w:rsidRPr="00BF0561" w:rsidRDefault="00B52394" w:rsidP="00466C6B">
      <w:pPr>
        <w:pStyle w:val="ListParagraph"/>
        <w:numPr>
          <w:ilvl w:val="0"/>
          <w:numId w:val="7"/>
        </w:numPr>
        <w:spacing w:after="0" w:line="259" w:lineRule="auto"/>
      </w:pPr>
      <w:r w:rsidRPr="00BF0561">
        <w:t>Non-grant funded full cost courses.</w:t>
      </w:r>
    </w:p>
    <w:p w14:paraId="13BF1148" w14:textId="77777777" w:rsidR="00BC2A4E" w:rsidRPr="00BC2A4E" w:rsidRDefault="00B52394" w:rsidP="00466C6B">
      <w:pPr>
        <w:pStyle w:val="ListParagraph"/>
        <w:numPr>
          <w:ilvl w:val="0"/>
          <w:numId w:val="7"/>
        </w:numPr>
        <w:spacing w:after="0" w:line="259" w:lineRule="auto"/>
      </w:pPr>
      <w:r w:rsidRPr="00BC2A4E">
        <w:t>The social and economic benefits that accrue in communities from social inclusion, reduction in social isolation and improvement in workforce skills at al</w:t>
      </w:r>
      <w:r w:rsidR="00F05C08" w:rsidRPr="00BC2A4E">
        <w:t>l</w:t>
      </w:r>
      <w:r w:rsidRPr="00BC2A4E">
        <w:t xml:space="preserve"> levels of academic ability. </w:t>
      </w:r>
    </w:p>
    <w:p w14:paraId="2406B007" w14:textId="77777777" w:rsidR="00B52394" w:rsidRPr="00BF0561" w:rsidRDefault="00B52394" w:rsidP="00466C6B">
      <w:pPr>
        <w:pStyle w:val="ListParagraph"/>
        <w:numPr>
          <w:ilvl w:val="0"/>
          <w:numId w:val="7"/>
        </w:numPr>
        <w:spacing w:after="0" w:line="259" w:lineRule="auto"/>
      </w:pPr>
      <w:r w:rsidRPr="00BF0561">
        <w:t>Efficient and effective curriculum planning to ensure maximum impact from the learning being delivered.</w:t>
      </w:r>
    </w:p>
    <w:p w14:paraId="2F9BD137" w14:textId="77777777" w:rsidR="00B52394" w:rsidRPr="00BF0561" w:rsidRDefault="00B52394" w:rsidP="00466C6B">
      <w:pPr>
        <w:pStyle w:val="ListParagraph"/>
        <w:numPr>
          <w:ilvl w:val="0"/>
          <w:numId w:val="7"/>
        </w:numPr>
        <w:spacing w:after="0" w:line="259" w:lineRule="auto"/>
      </w:pPr>
      <w:r w:rsidRPr="00BF0561">
        <w:t>Commercial income from rents and lettings.</w:t>
      </w:r>
    </w:p>
    <w:p w14:paraId="07B5E833" w14:textId="77777777" w:rsidR="00B52394" w:rsidRPr="00BF0561" w:rsidRDefault="00B52394" w:rsidP="00466C6B">
      <w:pPr>
        <w:pStyle w:val="ListParagraph"/>
        <w:numPr>
          <w:ilvl w:val="0"/>
          <w:numId w:val="7"/>
        </w:numPr>
        <w:spacing w:after="0" w:line="259" w:lineRule="auto"/>
      </w:pPr>
      <w:r w:rsidRPr="00BF0561">
        <w:t>Use of blended and distance learning to provide access to learnin</w:t>
      </w:r>
      <w:r w:rsidR="00D96F73">
        <w:t>g for those unable to attend one of the college</w:t>
      </w:r>
      <w:r w:rsidRPr="00BF0561">
        <w:t xml:space="preserve"> centre</w:t>
      </w:r>
      <w:r w:rsidR="00D96F73">
        <w:t>s</w:t>
      </w:r>
      <w:r w:rsidRPr="00BF0561">
        <w:t>.</w:t>
      </w:r>
    </w:p>
    <w:p w14:paraId="6899AF5C" w14:textId="77777777" w:rsidR="00444CD6" w:rsidRPr="00810266" w:rsidRDefault="00444CD6" w:rsidP="00810266">
      <w:pPr>
        <w:autoSpaceDE w:val="0"/>
        <w:autoSpaceDN w:val="0"/>
        <w:adjustRightInd w:val="0"/>
        <w:spacing w:after="0" w:line="240" w:lineRule="auto"/>
        <w:rPr>
          <w:b/>
          <w:bCs/>
          <w:color w:val="000000"/>
        </w:rPr>
      </w:pPr>
    </w:p>
    <w:p w14:paraId="6AE95D85" w14:textId="0CF06A1E" w:rsidR="00444CD6" w:rsidRPr="006D25D8" w:rsidRDefault="00A03EBF" w:rsidP="00444CD6">
      <w:pPr>
        <w:rPr>
          <w:b/>
          <w:bCs/>
        </w:rPr>
      </w:pPr>
      <w:r>
        <w:rPr>
          <w:b/>
          <w:bCs/>
        </w:rPr>
        <w:t>11.</w:t>
      </w:r>
      <w:r w:rsidR="00534229">
        <w:rPr>
          <w:b/>
          <w:bCs/>
        </w:rPr>
        <w:t xml:space="preserve"> </w:t>
      </w:r>
      <w:r w:rsidR="00444CD6" w:rsidRPr="006D25D8">
        <w:rPr>
          <w:b/>
          <w:bCs/>
        </w:rPr>
        <w:t>Instalment plans</w:t>
      </w:r>
    </w:p>
    <w:p w14:paraId="15B5B63F" w14:textId="0A82C8C6" w:rsidR="00444CD6" w:rsidRPr="006D25D8" w:rsidRDefault="00444CD6" w:rsidP="00444CD6">
      <w:r w:rsidRPr="006D25D8">
        <w:t>Instalment plans are available for all</w:t>
      </w:r>
      <w:r w:rsidR="00E74A27" w:rsidRPr="006D25D8">
        <w:t>,</w:t>
      </w:r>
      <w:r w:rsidRPr="006D25D8">
        <w:t xml:space="preserve"> </w:t>
      </w:r>
      <w:r w:rsidR="00E74A27" w:rsidRPr="006D25D8">
        <w:t>which</w:t>
      </w:r>
      <w:r w:rsidR="00810266" w:rsidRPr="006D25D8">
        <w:t xml:space="preserve"> spreads the cost of the</w:t>
      </w:r>
      <w:r w:rsidRPr="006D25D8">
        <w:t xml:space="preserve"> course and will be taken automatically each month.</w:t>
      </w:r>
    </w:p>
    <w:p w14:paraId="771D5D55" w14:textId="2D8F0DEE" w:rsidR="00444CD6" w:rsidRPr="006D25D8" w:rsidRDefault="00444CD6" w:rsidP="00466C6B">
      <w:pPr>
        <w:pStyle w:val="ListParagraph"/>
        <w:numPr>
          <w:ilvl w:val="0"/>
          <w:numId w:val="20"/>
        </w:numPr>
      </w:pPr>
      <w:r w:rsidRPr="006D25D8">
        <w:t>There is a £</w:t>
      </w:r>
      <w:r w:rsidRPr="00DC729E">
        <w:t>1</w:t>
      </w:r>
      <w:r w:rsidR="00DC729E" w:rsidRPr="00DC729E">
        <w:t>5.00</w:t>
      </w:r>
      <w:r w:rsidRPr="006D25D8">
        <w:t xml:space="preserve"> non-refundable fee payable upon enrolment (waived if proof of benefits can be supplied).</w:t>
      </w:r>
    </w:p>
    <w:p w14:paraId="3C928CE6" w14:textId="7A5B46E1" w:rsidR="00444CD6" w:rsidRPr="006D25D8" w:rsidRDefault="00444CD6" w:rsidP="00466C6B">
      <w:pPr>
        <w:pStyle w:val="ListParagraph"/>
        <w:numPr>
          <w:ilvl w:val="0"/>
          <w:numId w:val="21"/>
        </w:numPr>
      </w:pPr>
      <w:r w:rsidRPr="006D25D8">
        <w:t>We cannot hold places on courses without payment, therefore your first month’s payment will be required upon enrolment.</w:t>
      </w:r>
    </w:p>
    <w:p w14:paraId="5D3439AE" w14:textId="57187335" w:rsidR="00444CD6" w:rsidRPr="006D25D8" w:rsidRDefault="00F33279" w:rsidP="00F33279">
      <w:pPr>
        <w:ind w:left="360"/>
      </w:pPr>
      <w:r>
        <w:t xml:space="preserve">b. </w:t>
      </w:r>
      <w:r w:rsidR="00444CD6" w:rsidRPr="006D25D8">
        <w:t>Instalment plans must be set up in person, as a signature is required and must be paid before the end of your course.</w:t>
      </w:r>
    </w:p>
    <w:p w14:paraId="3795B828" w14:textId="60238C56" w:rsidR="00444CD6" w:rsidRPr="006D25D8" w:rsidRDefault="00A03EBF" w:rsidP="00444CD6">
      <w:pPr>
        <w:rPr>
          <w:b/>
          <w:bCs/>
        </w:rPr>
      </w:pPr>
      <w:r>
        <w:rPr>
          <w:b/>
          <w:bCs/>
        </w:rPr>
        <w:t xml:space="preserve">12. </w:t>
      </w:r>
      <w:r w:rsidR="00444CD6" w:rsidRPr="006D25D8">
        <w:rPr>
          <w:b/>
          <w:bCs/>
        </w:rPr>
        <w:t>Refunds</w:t>
      </w:r>
    </w:p>
    <w:p w14:paraId="05C6983F" w14:textId="02EEA538" w:rsidR="00444CD6" w:rsidRPr="006D25D8" w:rsidRDefault="00F33279" w:rsidP="00F33279">
      <w:pPr>
        <w:ind w:left="720"/>
      </w:pPr>
      <w:r>
        <w:t xml:space="preserve">a. </w:t>
      </w:r>
      <w:r w:rsidR="00444CD6" w:rsidRPr="006D25D8">
        <w:t xml:space="preserve">Following your enrolment there is a </w:t>
      </w:r>
      <w:r w:rsidR="00454DF7" w:rsidRPr="006D25D8">
        <w:t>14-day</w:t>
      </w:r>
      <w:r w:rsidR="00444CD6" w:rsidRPr="006D25D8">
        <w:t xml:space="preserve"> cooling off period, in which you can receive a full refund of any fees paid.</w:t>
      </w:r>
    </w:p>
    <w:p w14:paraId="2ECB67D4" w14:textId="1C8DE4A5" w:rsidR="00444CD6" w:rsidRPr="006D25D8" w:rsidRDefault="00F33279" w:rsidP="00F33279">
      <w:pPr>
        <w:ind w:left="720"/>
      </w:pPr>
      <w:r>
        <w:t xml:space="preserve">b. </w:t>
      </w:r>
      <w:r w:rsidR="00444CD6" w:rsidRPr="006D25D8">
        <w:t xml:space="preserve">After this date, provided your cancellation is before your second lesson, you can receive a refund, minus a £15 admin fee. </w:t>
      </w:r>
    </w:p>
    <w:p w14:paraId="01AA304C" w14:textId="4B41D449" w:rsidR="00534229" w:rsidRDefault="00F33279" w:rsidP="00981F0E">
      <w:pPr>
        <w:ind w:left="720"/>
      </w:pPr>
      <w:r>
        <w:t xml:space="preserve">c. </w:t>
      </w:r>
      <w:r w:rsidR="00444CD6" w:rsidRPr="006D25D8">
        <w:t>If a cancellation is requested after this date</w:t>
      </w:r>
      <w:r w:rsidR="00810266" w:rsidRPr="006D25D8">
        <w:t xml:space="preserve"> and attributed to exceptional circumstances</w:t>
      </w:r>
      <w:r w:rsidR="00444CD6" w:rsidRPr="006D25D8">
        <w:t xml:space="preserve">, </w:t>
      </w:r>
      <w:r w:rsidR="00810266" w:rsidRPr="006D25D8">
        <w:t>a partial refund may be considered by the Senior Leadership Team</w:t>
      </w:r>
      <w:r w:rsidR="00444CD6" w:rsidRPr="006D25D8">
        <w:t>.</w:t>
      </w:r>
      <w:r w:rsidR="008B5682">
        <w:t xml:space="preserve"> </w:t>
      </w:r>
      <w:r w:rsidR="00444CD6" w:rsidRPr="006D25D8">
        <w:t xml:space="preserve">If your cancellation is for medical reasons, we can supply a </w:t>
      </w:r>
      <w:proofErr w:type="gramStart"/>
      <w:r w:rsidR="00DC729E">
        <w:t xml:space="preserve">partial </w:t>
      </w:r>
      <w:r w:rsidR="00444CD6" w:rsidRPr="006D25D8">
        <w:t xml:space="preserve"> refund</w:t>
      </w:r>
      <w:proofErr w:type="gramEnd"/>
      <w:r w:rsidR="00444CD6" w:rsidRPr="006D25D8">
        <w:t>, once medical evidence has been supplied.</w:t>
      </w:r>
    </w:p>
    <w:p w14:paraId="1591A071" w14:textId="7C127457" w:rsidR="00B52394" w:rsidRDefault="00981F0E" w:rsidP="00981F0E">
      <w:pPr>
        <w:ind w:left="720"/>
      </w:pPr>
      <w:r>
        <w:t>d.</w:t>
      </w:r>
      <w:r w:rsidR="3837918C">
        <w:t xml:space="preserve"> </w:t>
      </w:r>
      <w:r w:rsidR="00444CD6">
        <w:t>In the unfortunate event of your course being cancelled, a full refund will be issued</w:t>
      </w:r>
      <w:r w:rsidR="00456174">
        <w:t xml:space="preserve"> or you will be given the opportunity to transfer to an alternative course</w:t>
      </w:r>
      <w:r w:rsidR="00444CD6">
        <w:t>.</w:t>
      </w:r>
    </w:p>
    <w:p w14:paraId="6B9FC7EF" w14:textId="77777777" w:rsidR="00823746" w:rsidRDefault="00823746" w:rsidP="00254B91">
      <w:pPr>
        <w:rPr>
          <w:b/>
        </w:rPr>
      </w:pPr>
    </w:p>
    <w:p w14:paraId="297052D4" w14:textId="77777777" w:rsidR="00823746" w:rsidRDefault="00823746" w:rsidP="00254B91">
      <w:pPr>
        <w:rPr>
          <w:b/>
        </w:rPr>
      </w:pPr>
    </w:p>
    <w:p w14:paraId="1A0E6A8A" w14:textId="682F2CE6" w:rsidR="00254B91" w:rsidRDefault="00254B91" w:rsidP="00254B91">
      <w:pPr>
        <w:rPr>
          <w:b/>
        </w:rPr>
      </w:pPr>
      <w:r>
        <w:rPr>
          <w:b/>
        </w:rPr>
        <w:lastRenderedPageBreak/>
        <w:t xml:space="preserve">13. </w:t>
      </w:r>
      <w:r w:rsidR="00AA2F82">
        <w:rPr>
          <w:b/>
        </w:rPr>
        <w:t xml:space="preserve">Exams - </w:t>
      </w:r>
      <w:r>
        <w:rPr>
          <w:b/>
        </w:rPr>
        <w:t>External Candidates</w:t>
      </w:r>
      <w:r w:rsidR="00823746">
        <w:rPr>
          <w:b/>
        </w:rPr>
        <w:t xml:space="preserve"> as shown below</w:t>
      </w:r>
    </w:p>
    <w:tbl>
      <w:tblPr>
        <w:tblStyle w:val="TableGrid"/>
        <w:tblW w:w="0" w:type="auto"/>
        <w:tblInd w:w="720" w:type="dxa"/>
        <w:tblLook w:val="04A0" w:firstRow="1" w:lastRow="0" w:firstColumn="1" w:lastColumn="0" w:noHBand="0" w:noVBand="1"/>
      </w:tblPr>
      <w:tblGrid>
        <w:gridCol w:w="4148"/>
        <w:gridCol w:w="4148"/>
      </w:tblGrid>
      <w:tr w:rsidR="00823746" w14:paraId="5AADE58C" w14:textId="77777777" w:rsidTr="007E0A38">
        <w:tc>
          <w:tcPr>
            <w:tcW w:w="4508" w:type="dxa"/>
            <w:shd w:val="clear" w:color="auto" w:fill="BFBFBF" w:themeFill="background1" w:themeFillShade="BF"/>
          </w:tcPr>
          <w:p w14:paraId="5AE21D30" w14:textId="33F3B6F0" w:rsidR="00823746" w:rsidRPr="007E0A38" w:rsidRDefault="00823746" w:rsidP="00254B91">
            <w:pPr>
              <w:pStyle w:val="ListParagraph"/>
              <w:ind w:left="0"/>
              <w:rPr>
                <w:b/>
              </w:rPr>
            </w:pPr>
            <w:r w:rsidRPr="007E0A38">
              <w:rPr>
                <w:b/>
              </w:rPr>
              <w:t>Subject</w:t>
            </w:r>
          </w:p>
        </w:tc>
        <w:tc>
          <w:tcPr>
            <w:tcW w:w="4508" w:type="dxa"/>
            <w:shd w:val="clear" w:color="auto" w:fill="BFBFBF" w:themeFill="background1" w:themeFillShade="BF"/>
          </w:tcPr>
          <w:p w14:paraId="2F869FD1" w14:textId="451BC060" w:rsidR="00823746" w:rsidRPr="007E0A38" w:rsidRDefault="00823746" w:rsidP="00254B91">
            <w:pPr>
              <w:pStyle w:val="ListParagraph"/>
              <w:ind w:left="0"/>
              <w:rPr>
                <w:b/>
              </w:rPr>
            </w:pPr>
            <w:r w:rsidRPr="007E0A38">
              <w:rPr>
                <w:b/>
              </w:rPr>
              <w:t>Fee</w:t>
            </w:r>
          </w:p>
        </w:tc>
      </w:tr>
      <w:tr w:rsidR="00823746" w14:paraId="63FD7C7C" w14:textId="77777777" w:rsidTr="00823746">
        <w:tc>
          <w:tcPr>
            <w:tcW w:w="4508" w:type="dxa"/>
          </w:tcPr>
          <w:p w14:paraId="5C4C16C8" w14:textId="7C92D442" w:rsidR="00823746" w:rsidRDefault="00823746" w:rsidP="00254B91">
            <w:pPr>
              <w:pStyle w:val="ListParagraph"/>
              <w:ind w:left="0"/>
            </w:pPr>
            <w:r>
              <w:t>GCSE Maths</w:t>
            </w:r>
          </w:p>
        </w:tc>
        <w:tc>
          <w:tcPr>
            <w:tcW w:w="4508" w:type="dxa"/>
          </w:tcPr>
          <w:p w14:paraId="6E12D836" w14:textId="32FA5178" w:rsidR="00823746" w:rsidRPr="005D5749" w:rsidRDefault="00823746" w:rsidP="00254B91">
            <w:pPr>
              <w:pStyle w:val="ListParagraph"/>
              <w:ind w:left="0"/>
            </w:pPr>
            <w:r w:rsidRPr="005D5749">
              <w:t>£175.00</w:t>
            </w:r>
          </w:p>
        </w:tc>
      </w:tr>
      <w:tr w:rsidR="00823746" w14:paraId="5FF0B047" w14:textId="77777777" w:rsidTr="00823746">
        <w:tc>
          <w:tcPr>
            <w:tcW w:w="4508" w:type="dxa"/>
          </w:tcPr>
          <w:p w14:paraId="0E9D9E68" w14:textId="66AB6DBC" w:rsidR="00823746" w:rsidRDefault="00823746" w:rsidP="00254B91">
            <w:pPr>
              <w:pStyle w:val="ListParagraph"/>
              <w:ind w:left="0"/>
            </w:pPr>
            <w:r>
              <w:t>GCSE English</w:t>
            </w:r>
          </w:p>
        </w:tc>
        <w:tc>
          <w:tcPr>
            <w:tcW w:w="4508" w:type="dxa"/>
          </w:tcPr>
          <w:p w14:paraId="4FD2AAD6" w14:textId="4A4394E4" w:rsidR="00823746" w:rsidRPr="005D5749" w:rsidRDefault="00823746" w:rsidP="00254B91">
            <w:pPr>
              <w:pStyle w:val="ListParagraph"/>
              <w:ind w:left="0"/>
            </w:pPr>
            <w:r w:rsidRPr="005D5749">
              <w:t>£175.00</w:t>
            </w:r>
          </w:p>
        </w:tc>
      </w:tr>
      <w:tr w:rsidR="00823746" w14:paraId="792A54D6" w14:textId="77777777" w:rsidTr="00823746">
        <w:tc>
          <w:tcPr>
            <w:tcW w:w="4508" w:type="dxa"/>
          </w:tcPr>
          <w:p w14:paraId="256A86B9" w14:textId="09C187BA" w:rsidR="00823746" w:rsidRDefault="00823746" w:rsidP="00254B91">
            <w:pPr>
              <w:pStyle w:val="ListParagraph"/>
              <w:ind w:left="0"/>
            </w:pPr>
            <w:r>
              <w:t>AAT</w:t>
            </w:r>
          </w:p>
        </w:tc>
        <w:tc>
          <w:tcPr>
            <w:tcW w:w="4508" w:type="dxa"/>
          </w:tcPr>
          <w:p w14:paraId="02BF1F8F" w14:textId="5D203941" w:rsidR="00823746" w:rsidRPr="005D5749" w:rsidRDefault="00823746" w:rsidP="00254B91">
            <w:pPr>
              <w:pStyle w:val="ListParagraph"/>
              <w:ind w:left="0"/>
            </w:pPr>
            <w:r w:rsidRPr="005D5749">
              <w:t>£</w:t>
            </w:r>
            <w:r w:rsidR="00F31F5D" w:rsidRPr="005D5749">
              <w:t>10</w:t>
            </w:r>
            <w:r w:rsidRPr="005D5749">
              <w:t>0.00</w:t>
            </w:r>
          </w:p>
        </w:tc>
      </w:tr>
    </w:tbl>
    <w:p w14:paraId="20D89626" w14:textId="78D1AB17" w:rsidR="00254B91" w:rsidRDefault="00254B91" w:rsidP="00254B91">
      <w:pPr>
        <w:pStyle w:val="ListParagraph"/>
      </w:pPr>
    </w:p>
    <w:p w14:paraId="401FBBDC" w14:textId="11BDD8AC" w:rsidR="00823746" w:rsidRDefault="00823746" w:rsidP="00823746">
      <w:pPr>
        <w:rPr>
          <w:b/>
        </w:rPr>
      </w:pPr>
      <w:r w:rsidRPr="00823746">
        <w:rPr>
          <w:b/>
        </w:rPr>
        <w:t>14.</w:t>
      </w:r>
      <w:r>
        <w:rPr>
          <w:b/>
        </w:rPr>
        <w:t xml:space="preserve"> Exams – Resit fees (Internal Candidates)</w:t>
      </w:r>
    </w:p>
    <w:tbl>
      <w:tblPr>
        <w:tblStyle w:val="TableGrid"/>
        <w:tblW w:w="0" w:type="auto"/>
        <w:tblInd w:w="704" w:type="dxa"/>
        <w:tblLook w:val="04A0" w:firstRow="1" w:lastRow="0" w:firstColumn="1" w:lastColumn="0" w:noHBand="0" w:noVBand="1"/>
      </w:tblPr>
      <w:tblGrid>
        <w:gridCol w:w="4111"/>
        <w:gridCol w:w="4201"/>
      </w:tblGrid>
      <w:tr w:rsidR="003C20F8" w14:paraId="0F05654A" w14:textId="77777777" w:rsidTr="002B73F1">
        <w:tc>
          <w:tcPr>
            <w:tcW w:w="4111" w:type="dxa"/>
            <w:shd w:val="clear" w:color="auto" w:fill="BFBFBF" w:themeFill="background1" w:themeFillShade="BF"/>
          </w:tcPr>
          <w:p w14:paraId="7032A7B7" w14:textId="2FC993C6" w:rsidR="003C20F8" w:rsidRDefault="003C20F8" w:rsidP="003C20F8">
            <w:r w:rsidRPr="007E0A38">
              <w:rPr>
                <w:b/>
              </w:rPr>
              <w:t>Subject</w:t>
            </w:r>
          </w:p>
        </w:tc>
        <w:tc>
          <w:tcPr>
            <w:tcW w:w="4201" w:type="dxa"/>
            <w:shd w:val="clear" w:color="auto" w:fill="BFBFBF" w:themeFill="background1" w:themeFillShade="BF"/>
          </w:tcPr>
          <w:p w14:paraId="62591848" w14:textId="6336DDC8" w:rsidR="003C20F8" w:rsidRDefault="003C20F8" w:rsidP="003C20F8">
            <w:r w:rsidRPr="007E0A38">
              <w:rPr>
                <w:b/>
              </w:rPr>
              <w:t>Fee</w:t>
            </w:r>
          </w:p>
        </w:tc>
      </w:tr>
      <w:tr w:rsidR="003C20F8" w14:paraId="314B18BA" w14:textId="77777777" w:rsidTr="002B73F1">
        <w:tc>
          <w:tcPr>
            <w:tcW w:w="4111" w:type="dxa"/>
          </w:tcPr>
          <w:p w14:paraId="5D0B8745" w14:textId="5B44CACC" w:rsidR="003C20F8" w:rsidRDefault="005F4D37" w:rsidP="003C20F8">
            <w:r>
              <w:t>Functional Skills first resit</w:t>
            </w:r>
          </w:p>
        </w:tc>
        <w:tc>
          <w:tcPr>
            <w:tcW w:w="4201" w:type="dxa"/>
          </w:tcPr>
          <w:p w14:paraId="1E515589" w14:textId="19134D35" w:rsidR="003C20F8" w:rsidRDefault="005F4D37" w:rsidP="003C20F8">
            <w:r>
              <w:t>£0.00</w:t>
            </w:r>
          </w:p>
        </w:tc>
      </w:tr>
      <w:tr w:rsidR="005F4D37" w14:paraId="1BA0474E" w14:textId="77777777" w:rsidTr="002B73F1">
        <w:tc>
          <w:tcPr>
            <w:tcW w:w="4111" w:type="dxa"/>
          </w:tcPr>
          <w:p w14:paraId="290054A3" w14:textId="72BD421D" w:rsidR="005F4D37" w:rsidRDefault="005F4D37" w:rsidP="005F4D37">
            <w:r>
              <w:t>Functional Skills English Reading</w:t>
            </w:r>
          </w:p>
        </w:tc>
        <w:tc>
          <w:tcPr>
            <w:tcW w:w="4201" w:type="dxa"/>
          </w:tcPr>
          <w:p w14:paraId="0CBBCC7B" w14:textId="619E579B" w:rsidR="005F4D37" w:rsidRDefault="005F4D37" w:rsidP="005F4D37">
            <w:r>
              <w:t>£30.00</w:t>
            </w:r>
          </w:p>
        </w:tc>
      </w:tr>
      <w:tr w:rsidR="005F4D37" w14:paraId="4B07B337" w14:textId="77777777" w:rsidTr="002B73F1">
        <w:tc>
          <w:tcPr>
            <w:tcW w:w="4111" w:type="dxa"/>
          </w:tcPr>
          <w:p w14:paraId="6EDC2CC9" w14:textId="1293C5EE" w:rsidR="005F4D37" w:rsidRDefault="005F4D37" w:rsidP="005F4D37">
            <w:r>
              <w:t>Functional Skills English Writing</w:t>
            </w:r>
          </w:p>
        </w:tc>
        <w:tc>
          <w:tcPr>
            <w:tcW w:w="4201" w:type="dxa"/>
          </w:tcPr>
          <w:p w14:paraId="0FAF16BB" w14:textId="4A1CEF29" w:rsidR="005F4D37" w:rsidRDefault="005F4D37" w:rsidP="005F4D37">
            <w:r>
              <w:t>£40.00</w:t>
            </w:r>
          </w:p>
        </w:tc>
      </w:tr>
      <w:tr w:rsidR="005F4D37" w14:paraId="33774D4C" w14:textId="77777777" w:rsidTr="002B73F1">
        <w:tc>
          <w:tcPr>
            <w:tcW w:w="4111" w:type="dxa"/>
          </w:tcPr>
          <w:p w14:paraId="01731010" w14:textId="530FDE78" w:rsidR="005F4D37" w:rsidRDefault="005F4D37" w:rsidP="005F4D37">
            <w:r>
              <w:t>Functional Skills Maths</w:t>
            </w:r>
          </w:p>
        </w:tc>
        <w:tc>
          <w:tcPr>
            <w:tcW w:w="4201" w:type="dxa"/>
          </w:tcPr>
          <w:p w14:paraId="363BE970" w14:textId="22D694FC" w:rsidR="005F4D37" w:rsidRDefault="005F4D37" w:rsidP="005F4D37">
            <w:r>
              <w:t>£50.00</w:t>
            </w:r>
          </w:p>
        </w:tc>
      </w:tr>
      <w:tr w:rsidR="005F4D37" w14:paraId="566D8450" w14:textId="77777777" w:rsidTr="002B73F1">
        <w:tc>
          <w:tcPr>
            <w:tcW w:w="4111" w:type="dxa"/>
          </w:tcPr>
          <w:p w14:paraId="54642B4C" w14:textId="0D483331" w:rsidR="005F4D37" w:rsidRDefault="005F4D37" w:rsidP="005F4D37">
            <w:r>
              <w:t>AAT Unit</w:t>
            </w:r>
          </w:p>
        </w:tc>
        <w:tc>
          <w:tcPr>
            <w:tcW w:w="4201" w:type="dxa"/>
          </w:tcPr>
          <w:p w14:paraId="21DDD628" w14:textId="30605536" w:rsidR="005F4D37" w:rsidRDefault="005F4D37" w:rsidP="005F4D37">
            <w:r>
              <w:t>£60.00</w:t>
            </w:r>
          </w:p>
        </w:tc>
      </w:tr>
    </w:tbl>
    <w:p w14:paraId="0EC4D915" w14:textId="77777777" w:rsidR="0097727B" w:rsidRPr="00BF0561" w:rsidRDefault="0097727B" w:rsidP="00074599">
      <w:pPr>
        <w:spacing w:after="0" w:line="240" w:lineRule="auto"/>
        <w:rPr>
          <w:rFonts w:eastAsia="Times New Roman"/>
          <w:b/>
          <w:lang w:eastAsia="en-GB"/>
        </w:rPr>
      </w:pPr>
    </w:p>
    <w:p w14:paraId="3A897B86" w14:textId="77777777" w:rsidR="00534229" w:rsidRDefault="00534229" w:rsidP="00184811">
      <w:pPr>
        <w:spacing w:after="0" w:line="240" w:lineRule="auto"/>
        <w:jc w:val="center"/>
        <w:rPr>
          <w:rFonts w:eastAsia="Times New Roman"/>
          <w:b/>
          <w:lang w:eastAsia="en-GB"/>
        </w:rPr>
      </w:pPr>
    </w:p>
    <w:p w14:paraId="11126CAF" w14:textId="1C74DA69" w:rsidR="00534229" w:rsidRDefault="00534229" w:rsidP="00184811">
      <w:pPr>
        <w:spacing w:after="0" w:line="240" w:lineRule="auto"/>
        <w:jc w:val="center"/>
        <w:rPr>
          <w:rFonts w:eastAsia="Times New Roman"/>
          <w:b/>
          <w:lang w:eastAsia="en-GB"/>
        </w:rPr>
      </w:pPr>
    </w:p>
    <w:p w14:paraId="49EBA7FD" w14:textId="70987770" w:rsidR="00534229" w:rsidRDefault="00534229" w:rsidP="00184811">
      <w:pPr>
        <w:spacing w:after="0" w:line="240" w:lineRule="auto"/>
        <w:jc w:val="center"/>
        <w:rPr>
          <w:rFonts w:eastAsia="Times New Roman"/>
          <w:b/>
          <w:lang w:eastAsia="en-GB"/>
        </w:rPr>
      </w:pPr>
    </w:p>
    <w:p w14:paraId="66F7E9F9" w14:textId="77777777" w:rsidR="005F4D37" w:rsidRDefault="005F4D37" w:rsidP="00184811">
      <w:pPr>
        <w:spacing w:after="0" w:line="240" w:lineRule="auto"/>
        <w:jc w:val="center"/>
        <w:rPr>
          <w:rFonts w:eastAsia="Times New Roman"/>
          <w:b/>
          <w:lang w:eastAsia="en-GB"/>
        </w:rPr>
      </w:pPr>
    </w:p>
    <w:p w14:paraId="264F3BBD" w14:textId="77777777" w:rsidR="005F4D37" w:rsidRDefault="005F4D37" w:rsidP="00184811">
      <w:pPr>
        <w:spacing w:after="0" w:line="240" w:lineRule="auto"/>
        <w:jc w:val="center"/>
        <w:rPr>
          <w:rFonts w:eastAsia="Times New Roman"/>
          <w:b/>
          <w:lang w:eastAsia="en-GB"/>
        </w:rPr>
      </w:pPr>
    </w:p>
    <w:p w14:paraId="2AE60BC1" w14:textId="77777777" w:rsidR="005F4D37" w:rsidRDefault="005F4D37" w:rsidP="00184811">
      <w:pPr>
        <w:spacing w:after="0" w:line="240" w:lineRule="auto"/>
        <w:jc w:val="center"/>
        <w:rPr>
          <w:rFonts w:eastAsia="Times New Roman"/>
          <w:b/>
          <w:lang w:eastAsia="en-GB"/>
        </w:rPr>
      </w:pPr>
    </w:p>
    <w:p w14:paraId="64CA0849" w14:textId="77777777" w:rsidR="005F4D37" w:rsidRDefault="005F4D37" w:rsidP="00184811">
      <w:pPr>
        <w:spacing w:after="0" w:line="240" w:lineRule="auto"/>
        <w:jc w:val="center"/>
        <w:rPr>
          <w:rFonts w:eastAsia="Times New Roman"/>
          <w:b/>
          <w:lang w:eastAsia="en-GB"/>
        </w:rPr>
      </w:pPr>
    </w:p>
    <w:p w14:paraId="428D282E" w14:textId="77777777" w:rsidR="005F4D37" w:rsidRDefault="005F4D37" w:rsidP="00184811">
      <w:pPr>
        <w:spacing w:after="0" w:line="240" w:lineRule="auto"/>
        <w:jc w:val="center"/>
        <w:rPr>
          <w:rFonts w:eastAsia="Times New Roman"/>
          <w:b/>
          <w:lang w:eastAsia="en-GB"/>
        </w:rPr>
      </w:pPr>
    </w:p>
    <w:p w14:paraId="312026E7" w14:textId="77777777" w:rsidR="005F4D37" w:rsidRDefault="005F4D37" w:rsidP="00184811">
      <w:pPr>
        <w:spacing w:after="0" w:line="240" w:lineRule="auto"/>
        <w:jc w:val="center"/>
        <w:rPr>
          <w:rFonts w:eastAsia="Times New Roman"/>
          <w:b/>
          <w:lang w:eastAsia="en-GB"/>
        </w:rPr>
      </w:pPr>
    </w:p>
    <w:p w14:paraId="2BE5BD1D" w14:textId="77777777" w:rsidR="005F4D37" w:rsidRDefault="005F4D37" w:rsidP="00184811">
      <w:pPr>
        <w:spacing w:after="0" w:line="240" w:lineRule="auto"/>
        <w:jc w:val="center"/>
        <w:rPr>
          <w:rFonts w:eastAsia="Times New Roman"/>
          <w:b/>
          <w:lang w:eastAsia="en-GB"/>
        </w:rPr>
      </w:pPr>
    </w:p>
    <w:p w14:paraId="0FFC59BD" w14:textId="77777777" w:rsidR="005F4D37" w:rsidRDefault="005F4D37" w:rsidP="00184811">
      <w:pPr>
        <w:spacing w:after="0" w:line="240" w:lineRule="auto"/>
        <w:jc w:val="center"/>
        <w:rPr>
          <w:rFonts w:eastAsia="Times New Roman"/>
          <w:b/>
          <w:lang w:eastAsia="en-GB"/>
        </w:rPr>
      </w:pPr>
    </w:p>
    <w:p w14:paraId="51B13F84" w14:textId="77777777" w:rsidR="005F4D37" w:rsidRDefault="005F4D37" w:rsidP="00184811">
      <w:pPr>
        <w:spacing w:after="0" w:line="240" w:lineRule="auto"/>
        <w:jc w:val="center"/>
        <w:rPr>
          <w:rFonts w:eastAsia="Times New Roman"/>
          <w:b/>
          <w:lang w:eastAsia="en-GB"/>
        </w:rPr>
      </w:pPr>
    </w:p>
    <w:p w14:paraId="4F260B15" w14:textId="77777777" w:rsidR="005F4D37" w:rsidRDefault="005F4D37" w:rsidP="00184811">
      <w:pPr>
        <w:spacing w:after="0" w:line="240" w:lineRule="auto"/>
        <w:jc w:val="center"/>
        <w:rPr>
          <w:rFonts w:eastAsia="Times New Roman"/>
          <w:b/>
          <w:lang w:eastAsia="en-GB"/>
        </w:rPr>
      </w:pPr>
    </w:p>
    <w:p w14:paraId="3E30C580" w14:textId="77777777" w:rsidR="005F4D37" w:rsidRDefault="005F4D37" w:rsidP="00184811">
      <w:pPr>
        <w:spacing w:after="0" w:line="240" w:lineRule="auto"/>
        <w:jc w:val="center"/>
        <w:rPr>
          <w:rFonts w:eastAsia="Times New Roman"/>
          <w:b/>
          <w:lang w:eastAsia="en-GB"/>
        </w:rPr>
      </w:pPr>
    </w:p>
    <w:p w14:paraId="086ED2D2" w14:textId="77777777" w:rsidR="005F4D37" w:rsidRDefault="005F4D37" w:rsidP="00184811">
      <w:pPr>
        <w:spacing w:after="0" w:line="240" w:lineRule="auto"/>
        <w:jc w:val="center"/>
        <w:rPr>
          <w:rFonts w:eastAsia="Times New Roman"/>
          <w:b/>
          <w:lang w:eastAsia="en-GB"/>
        </w:rPr>
      </w:pPr>
    </w:p>
    <w:p w14:paraId="28C11990" w14:textId="77777777" w:rsidR="005F4D37" w:rsidRDefault="005F4D37" w:rsidP="00184811">
      <w:pPr>
        <w:spacing w:after="0" w:line="240" w:lineRule="auto"/>
        <w:jc w:val="center"/>
        <w:rPr>
          <w:rFonts w:eastAsia="Times New Roman"/>
          <w:b/>
          <w:lang w:eastAsia="en-GB"/>
        </w:rPr>
      </w:pPr>
    </w:p>
    <w:p w14:paraId="47C98E8C" w14:textId="77777777" w:rsidR="005F4D37" w:rsidRDefault="005F4D37" w:rsidP="00184811">
      <w:pPr>
        <w:spacing w:after="0" w:line="240" w:lineRule="auto"/>
        <w:jc w:val="center"/>
        <w:rPr>
          <w:rFonts w:eastAsia="Times New Roman"/>
          <w:b/>
          <w:lang w:eastAsia="en-GB"/>
        </w:rPr>
      </w:pPr>
    </w:p>
    <w:p w14:paraId="1B280DDF" w14:textId="77777777" w:rsidR="005F4D37" w:rsidRDefault="005F4D37" w:rsidP="00184811">
      <w:pPr>
        <w:spacing w:after="0" w:line="240" w:lineRule="auto"/>
        <w:jc w:val="center"/>
        <w:rPr>
          <w:rFonts w:eastAsia="Times New Roman"/>
          <w:b/>
          <w:lang w:eastAsia="en-GB"/>
        </w:rPr>
      </w:pPr>
    </w:p>
    <w:p w14:paraId="6C765006" w14:textId="77777777" w:rsidR="005F4D37" w:rsidRDefault="005F4D37" w:rsidP="00184811">
      <w:pPr>
        <w:spacing w:after="0" w:line="240" w:lineRule="auto"/>
        <w:jc w:val="center"/>
        <w:rPr>
          <w:rFonts w:eastAsia="Times New Roman"/>
          <w:b/>
          <w:lang w:eastAsia="en-GB"/>
        </w:rPr>
      </w:pPr>
    </w:p>
    <w:p w14:paraId="314C5ED5" w14:textId="77777777" w:rsidR="005F4D37" w:rsidRDefault="005F4D37" w:rsidP="00184811">
      <w:pPr>
        <w:spacing w:after="0" w:line="240" w:lineRule="auto"/>
        <w:jc w:val="center"/>
        <w:rPr>
          <w:rFonts w:eastAsia="Times New Roman"/>
          <w:b/>
          <w:lang w:eastAsia="en-GB"/>
        </w:rPr>
      </w:pPr>
    </w:p>
    <w:p w14:paraId="56744637" w14:textId="77777777" w:rsidR="005F4D37" w:rsidRDefault="005F4D37" w:rsidP="00184811">
      <w:pPr>
        <w:spacing w:after="0" w:line="240" w:lineRule="auto"/>
        <w:jc w:val="center"/>
        <w:rPr>
          <w:rFonts w:eastAsia="Times New Roman"/>
          <w:b/>
          <w:lang w:eastAsia="en-GB"/>
        </w:rPr>
      </w:pPr>
    </w:p>
    <w:p w14:paraId="07CDE8BB" w14:textId="77777777" w:rsidR="005F4D37" w:rsidRDefault="005F4D37" w:rsidP="00184811">
      <w:pPr>
        <w:spacing w:after="0" w:line="240" w:lineRule="auto"/>
        <w:jc w:val="center"/>
        <w:rPr>
          <w:rFonts w:eastAsia="Times New Roman"/>
          <w:b/>
          <w:lang w:eastAsia="en-GB"/>
        </w:rPr>
      </w:pPr>
    </w:p>
    <w:p w14:paraId="4068154B" w14:textId="77777777" w:rsidR="005F4D37" w:rsidRDefault="005F4D37" w:rsidP="00184811">
      <w:pPr>
        <w:spacing w:after="0" w:line="240" w:lineRule="auto"/>
        <w:jc w:val="center"/>
        <w:rPr>
          <w:rFonts w:eastAsia="Times New Roman"/>
          <w:b/>
          <w:lang w:eastAsia="en-GB"/>
        </w:rPr>
      </w:pPr>
    </w:p>
    <w:p w14:paraId="18AAF5B2" w14:textId="77777777" w:rsidR="005F4D37" w:rsidRDefault="005F4D37" w:rsidP="00184811">
      <w:pPr>
        <w:spacing w:after="0" w:line="240" w:lineRule="auto"/>
        <w:jc w:val="center"/>
        <w:rPr>
          <w:rFonts w:eastAsia="Times New Roman"/>
          <w:b/>
          <w:lang w:eastAsia="en-GB"/>
        </w:rPr>
      </w:pPr>
    </w:p>
    <w:p w14:paraId="2FEC7D10" w14:textId="77777777" w:rsidR="005F4D37" w:rsidRDefault="005F4D37" w:rsidP="00184811">
      <w:pPr>
        <w:spacing w:after="0" w:line="240" w:lineRule="auto"/>
        <w:jc w:val="center"/>
        <w:rPr>
          <w:rFonts w:eastAsia="Times New Roman"/>
          <w:b/>
          <w:lang w:eastAsia="en-GB"/>
        </w:rPr>
      </w:pPr>
    </w:p>
    <w:p w14:paraId="2D6E7272" w14:textId="77777777" w:rsidR="005F4D37" w:rsidRDefault="005F4D37" w:rsidP="00184811">
      <w:pPr>
        <w:spacing w:after="0" w:line="240" w:lineRule="auto"/>
        <w:jc w:val="center"/>
        <w:rPr>
          <w:rFonts w:eastAsia="Times New Roman"/>
          <w:b/>
          <w:lang w:eastAsia="en-GB"/>
        </w:rPr>
      </w:pPr>
    </w:p>
    <w:p w14:paraId="2A7A227A" w14:textId="77777777" w:rsidR="005F4D37" w:rsidRDefault="005F4D37" w:rsidP="00184811">
      <w:pPr>
        <w:spacing w:after="0" w:line="240" w:lineRule="auto"/>
        <w:jc w:val="center"/>
        <w:rPr>
          <w:rFonts w:eastAsia="Times New Roman"/>
          <w:b/>
          <w:lang w:eastAsia="en-GB"/>
        </w:rPr>
      </w:pPr>
    </w:p>
    <w:p w14:paraId="74763035" w14:textId="77777777" w:rsidR="005F4D37" w:rsidRDefault="005F4D37" w:rsidP="00184811">
      <w:pPr>
        <w:spacing w:after="0" w:line="240" w:lineRule="auto"/>
        <w:jc w:val="center"/>
        <w:rPr>
          <w:rFonts w:eastAsia="Times New Roman"/>
          <w:b/>
          <w:lang w:eastAsia="en-GB"/>
        </w:rPr>
      </w:pPr>
    </w:p>
    <w:p w14:paraId="0E2D7934" w14:textId="77777777" w:rsidR="005F4D37" w:rsidRDefault="005F4D37" w:rsidP="00184811">
      <w:pPr>
        <w:spacing w:after="0" w:line="240" w:lineRule="auto"/>
        <w:jc w:val="center"/>
        <w:rPr>
          <w:rFonts w:eastAsia="Times New Roman"/>
          <w:b/>
          <w:lang w:eastAsia="en-GB"/>
        </w:rPr>
      </w:pPr>
    </w:p>
    <w:p w14:paraId="7818A581" w14:textId="77777777" w:rsidR="005F4D37" w:rsidRDefault="005F4D37" w:rsidP="00184811">
      <w:pPr>
        <w:spacing w:after="0" w:line="240" w:lineRule="auto"/>
        <w:jc w:val="center"/>
        <w:rPr>
          <w:rFonts w:eastAsia="Times New Roman"/>
          <w:b/>
          <w:lang w:eastAsia="en-GB"/>
        </w:rPr>
      </w:pPr>
    </w:p>
    <w:p w14:paraId="5C0C86A6" w14:textId="77777777" w:rsidR="005F4D37" w:rsidRDefault="005F4D37" w:rsidP="00184811">
      <w:pPr>
        <w:spacing w:after="0" w:line="240" w:lineRule="auto"/>
        <w:jc w:val="center"/>
        <w:rPr>
          <w:rFonts w:eastAsia="Times New Roman"/>
          <w:b/>
          <w:lang w:eastAsia="en-GB"/>
        </w:rPr>
      </w:pPr>
    </w:p>
    <w:p w14:paraId="112BB959" w14:textId="77777777" w:rsidR="005F4D37" w:rsidRDefault="005F4D37" w:rsidP="00184811">
      <w:pPr>
        <w:spacing w:after="0" w:line="240" w:lineRule="auto"/>
        <w:jc w:val="center"/>
        <w:rPr>
          <w:rFonts w:eastAsia="Times New Roman"/>
          <w:b/>
          <w:lang w:eastAsia="en-GB"/>
        </w:rPr>
      </w:pPr>
    </w:p>
    <w:p w14:paraId="1C19AEC7" w14:textId="77777777" w:rsidR="005F4D37" w:rsidRDefault="005F4D37" w:rsidP="00184811">
      <w:pPr>
        <w:spacing w:after="0" w:line="240" w:lineRule="auto"/>
        <w:jc w:val="center"/>
        <w:rPr>
          <w:rFonts w:eastAsia="Times New Roman"/>
          <w:b/>
          <w:lang w:eastAsia="en-GB"/>
        </w:rPr>
      </w:pPr>
    </w:p>
    <w:p w14:paraId="30C8BFCA" w14:textId="2052C67C" w:rsidR="00184811" w:rsidRPr="00BF0561" w:rsidRDefault="00184811" w:rsidP="00184811">
      <w:pPr>
        <w:spacing w:after="0" w:line="240" w:lineRule="auto"/>
        <w:jc w:val="center"/>
        <w:rPr>
          <w:rFonts w:eastAsia="Times New Roman"/>
          <w:b/>
          <w:lang w:eastAsia="en-GB"/>
        </w:rPr>
      </w:pPr>
      <w:r w:rsidRPr="00BF0561">
        <w:rPr>
          <w:rFonts w:eastAsia="Times New Roman"/>
          <w:b/>
          <w:lang w:eastAsia="en-GB"/>
        </w:rPr>
        <w:lastRenderedPageBreak/>
        <w:t>Annex A – Explanation</w:t>
      </w:r>
      <w:r w:rsidR="00BB7ADE" w:rsidRPr="00BF0561">
        <w:rPr>
          <w:rFonts w:eastAsia="Times New Roman"/>
          <w:b/>
          <w:lang w:eastAsia="en-GB"/>
        </w:rPr>
        <w:t xml:space="preserve"> of terms and acronyms</w:t>
      </w:r>
    </w:p>
    <w:p w14:paraId="207274F6" w14:textId="77777777" w:rsidR="00184811" w:rsidRPr="00BF0561" w:rsidRDefault="00184811" w:rsidP="00184811">
      <w:pPr>
        <w:spacing w:after="0" w:line="240" w:lineRule="auto"/>
        <w:jc w:val="center"/>
        <w:rPr>
          <w:rFonts w:eastAsia="Times New Roman"/>
          <w:b/>
          <w:lang w:eastAsia="en-GB"/>
        </w:rPr>
      </w:pPr>
    </w:p>
    <w:p w14:paraId="61FDCD45" w14:textId="77777777" w:rsidR="00184811" w:rsidRPr="00BF0561" w:rsidRDefault="00184811" w:rsidP="00184811">
      <w:pPr>
        <w:pStyle w:val="Default"/>
      </w:pPr>
      <w:r w:rsidRPr="00BF0561">
        <w:rPr>
          <w:b/>
          <w:bCs/>
        </w:rPr>
        <w:t xml:space="preserve">Fully-Funded Fees </w:t>
      </w:r>
    </w:p>
    <w:p w14:paraId="60B8A9FB" w14:textId="77777777" w:rsidR="003D19BB" w:rsidRPr="00BF0561" w:rsidRDefault="00184811" w:rsidP="003D19BB">
      <w:pPr>
        <w:rPr>
          <w:color w:val="000000"/>
        </w:rPr>
      </w:pPr>
      <w:r w:rsidRPr="00BF0561">
        <w:t xml:space="preserve">Where a learner meets the criteria to have their course fully-funded by the Government no fee will be charged for tuition, examinations, registration or anything else that is necessary for the learner to achieve their course, though </w:t>
      </w:r>
      <w:r w:rsidR="00D96F73">
        <w:t>the college</w:t>
      </w:r>
      <w:r w:rsidR="00C301DC" w:rsidRPr="00BF0561">
        <w:t xml:space="preserve"> </w:t>
      </w:r>
      <w:r w:rsidRPr="00BF0561">
        <w:t>reserves the right to charge a learner for any extracurricular activities or for materials and services that are not specifically required in order for them to achieve this.</w:t>
      </w:r>
      <w:r w:rsidR="003D19BB" w:rsidRPr="00BF0561">
        <w:t xml:space="preserve">  </w:t>
      </w:r>
      <w:r w:rsidR="003D19BB" w:rsidRPr="00BF0561">
        <w:rPr>
          <w:color w:val="000000"/>
        </w:rPr>
        <w:t xml:space="preserve">Full eligibility criteria </w:t>
      </w:r>
      <w:proofErr w:type="gramStart"/>
      <w:r w:rsidR="003D19BB" w:rsidRPr="00BF0561">
        <w:rPr>
          <w:color w:val="000000"/>
        </w:rPr>
        <w:t>is</w:t>
      </w:r>
      <w:proofErr w:type="gramEnd"/>
      <w:r w:rsidR="003D19BB" w:rsidRPr="00BF0561">
        <w:rPr>
          <w:color w:val="000000"/>
        </w:rPr>
        <w:t xml:space="preserve"> available on request.</w:t>
      </w:r>
    </w:p>
    <w:p w14:paraId="275DDAD3" w14:textId="77777777" w:rsidR="00184811" w:rsidRPr="00BF0561" w:rsidRDefault="00184811" w:rsidP="00184811">
      <w:pPr>
        <w:pStyle w:val="Default"/>
      </w:pPr>
      <w:r w:rsidRPr="00BF0561">
        <w:rPr>
          <w:b/>
          <w:bCs/>
        </w:rPr>
        <w:t xml:space="preserve">Co-Funded Fees </w:t>
      </w:r>
    </w:p>
    <w:p w14:paraId="56A0A5EB" w14:textId="77777777" w:rsidR="00184811" w:rsidRPr="00BF0561" w:rsidRDefault="00184811" w:rsidP="00184811">
      <w:pPr>
        <w:pStyle w:val="Default"/>
      </w:pPr>
      <w:r w:rsidRPr="00BF0561">
        <w:t xml:space="preserve">Where a learner meets the criteria to have their course co-funded by the Government a co-funded fee will be charged at the beginning of their course. This fee will include: </w:t>
      </w:r>
    </w:p>
    <w:p w14:paraId="6C0A1D55" w14:textId="77777777" w:rsidR="00184811" w:rsidRPr="00BF0561" w:rsidRDefault="00184811" w:rsidP="00466C6B">
      <w:pPr>
        <w:pStyle w:val="Default"/>
        <w:numPr>
          <w:ilvl w:val="0"/>
          <w:numId w:val="3"/>
        </w:numPr>
        <w:spacing w:after="66"/>
      </w:pPr>
      <w:r w:rsidRPr="00BF0561">
        <w:t xml:space="preserve">Tuition Fees for all programme elements </w:t>
      </w:r>
    </w:p>
    <w:p w14:paraId="5B143479" w14:textId="77777777" w:rsidR="00184811" w:rsidRPr="00BF0561" w:rsidRDefault="00184811" w:rsidP="00466C6B">
      <w:pPr>
        <w:pStyle w:val="Default"/>
        <w:numPr>
          <w:ilvl w:val="0"/>
          <w:numId w:val="3"/>
        </w:numPr>
        <w:spacing w:after="66"/>
      </w:pPr>
      <w:r w:rsidRPr="00BF0561">
        <w:t xml:space="preserve">Registration, Examination and Assessment Fees where applicable </w:t>
      </w:r>
    </w:p>
    <w:p w14:paraId="312DE3B2" w14:textId="77777777" w:rsidR="00184811" w:rsidRPr="00BF0561" w:rsidRDefault="00184811" w:rsidP="00466C6B">
      <w:pPr>
        <w:pStyle w:val="Default"/>
        <w:numPr>
          <w:ilvl w:val="0"/>
          <w:numId w:val="3"/>
        </w:numPr>
      </w:pPr>
      <w:r w:rsidRPr="00BF0561">
        <w:t xml:space="preserve">Additional consumables and protective clothing fees may be payable as a requirement of the course (Ancillary fees) </w:t>
      </w:r>
    </w:p>
    <w:p w14:paraId="4884E00E" w14:textId="77777777" w:rsidR="00184811" w:rsidRPr="00BF0561" w:rsidRDefault="00184811" w:rsidP="00184811">
      <w:pPr>
        <w:pStyle w:val="Default"/>
      </w:pPr>
    </w:p>
    <w:p w14:paraId="2C94625D" w14:textId="77777777" w:rsidR="00184811" w:rsidRPr="00BF0561" w:rsidRDefault="00184811" w:rsidP="00184811">
      <w:pPr>
        <w:pStyle w:val="Default"/>
      </w:pPr>
      <w:r w:rsidRPr="00BF0561">
        <w:rPr>
          <w:b/>
          <w:bCs/>
        </w:rPr>
        <w:t xml:space="preserve">Concessionary Co-funded Fee </w:t>
      </w:r>
    </w:p>
    <w:p w14:paraId="538E4521" w14:textId="77777777" w:rsidR="00184811" w:rsidRDefault="00184811" w:rsidP="00184811">
      <w:pPr>
        <w:pStyle w:val="Default"/>
      </w:pPr>
      <w:r w:rsidRPr="00BF0561">
        <w:t xml:space="preserve">Where a learner is in receipt of any of the following means-tested benefits they will be entitled to pay a reduced concessionary co-funded fee upon presentation of documentary evidence where a fully funded fee in unavailable: </w:t>
      </w:r>
    </w:p>
    <w:p w14:paraId="13FED76F" w14:textId="77777777" w:rsidR="00B25CF6" w:rsidRDefault="00B25CF6" w:rsidP="00184811">
      <w:pPr>
        <w:pStyle w:val="Default"/>
      </w:pPr>
    </w:p>
    <w:p w14:paraId="329B8C00" w14:textId="77777777" w:rsidR="00B25CF6" w:rsidRPr="00BF0561" w:rsidRDefault="00B25CF6" w:rsidP="00466C6B">
      <w:pPr>
        <w:pStyle w:val="Default"/>
        <w:numPr>
          <w:ilvl w:val="0"/>
          <w:numId w:val="4"/>
        </w:numPr>
        <w:spacing w:after="66"/>
      </w:pPr>
      <w:r>
        <w:t>Universal Credit</w:t>
      </w:r>
    </w:p>
    <w:p w14:paraId="1456AB34" w14:textId="77777777" w:rsidR="00184811" w:rsidRPr="00BF0561" w:rsidRDefault="00184811" w:rsidP="00466C6B">
      <w:pPr>
        <w:pStyle w:val="Default"/>
        <w:numPr>
          <w:ilvl w:val="0"/>
          <w:numId w:val="4"/>
        </w:numPr>
        <w:spacing w:after="66"/>
      </w:pPr>
      <w:r w:rsidRPr="00BF0561">
        <w:t xml:space="preserve">Income-related Employment and Support Allowance </w:t>
      </w:r>
    </w:p>
    <w:p w14:paraId="5BF29D24" w14:textId="77777777" w:rsidR="00184811" w:rsidRPr="00BF0561" w:rsidRDefault="00184811" w:rsidP="00466C6B">
      <w:pPr>
        <w:pStyle w:val="Default"/>
        <w:numPr>
          <w:ilvl w:val="0"/>
          <w:numId w:val="4"/>
        </w:numPr>
        <w:spacing w:after="66"/>
      </w:pPr>
      <w:r w:rsidRPr="00BF0561">
        <w:t xml:space="preserve">Pension Credit </w:t>
      </w:r>
    </w:p>
    <w:p w14:paraId="05835136" w14:textId="77777777" w:rsidR="00184811" w:rsidRPr="00BF0561" w:rsidRDefault="00184811" w:rsidP="00466C6B">
      <w:pPr>
        <w:pStyle w:val="Default"/>
        <w:numPr>
          <w:ilvl w:val="0"/>
          <w:numId w:val="4"/>
        </w:numPr>
        <w:spacing w:after="66"/>
      </w:pPr>
      <w:r w:rsidRPr="00BF0561">
        <w:t xml:space="preserve">Working Tax Credit </w:t>
      </w:r>
      <w:r w:rsidR="003C5EB7" w:rsidRPr="00BF0561">
        <w:t>(earnings below specified limit)</w:t>
      </w:r>
    </w:p>
    <w:p w14:paraId="19CF4402" w14:textId="77777777" w:rsidR="00184811" w:rsidRPr="00BF0561" w:rsidRDefault="00184811" w:rsidP="00466C6B">
      <w:pPr>
        <w:pStyle w:val="Default"/>
        <w:numPr>
          <w:ilvl w:val="0"/>
          <w:numId w:val="4"/>
        </w:numPr>
        <w:spacing w:after="66"/>
      </w:pPr>
      <w:r w:rsidRPr="00BF0561">
        <w:t xml:space="preserve">Council Tax support </w:t>
      </w:r>
    </w:p>
    <w:p w14:paraId="3F70CDD4" w14:textId="77777777" w:rsidR="00184811" w:rsidRPr="00BF0561" w:rsidRDefault="00184811" w:rsidP="00184811">
      <w:pPr>
        <w:pStyle w:val="Default"/>
      </w:pPr>
    </w:p>
    <w:p w14:paraId="65951455" w14:textId="77777777" w:rsidR="00184811" w:rsidRPr="00BF0561" w:rsidRDefault="00184811" w:rsidP="00184811">
      <w:pPr>
        <w:pStyle w:val="Default"/>
      </w:pPr>
      <w:r w:rsidRPr="00BF0561">
        <w:rPr>
          <w:b/>
          <w:bCs/>
        </w:rPr>
        <w:t xml:space="preserve">Self-Funded Fees </w:t>
      </w:r>
    </w:p>
    <w:p w14:paraId="2339E450" w14:textId="77777777" w:rsidR="00184811" w:rsidRPr="00BF0561" w:rsidRDefault="00184811" w:rsidP="00184811">
      <w:pPr>
        <w:pStyle w:val="Default"/>
      </w:pPr>
      <w:r w:rsidRPr="00BF0561">
        <w:t xml:space="preserve">Where either a learner does not meet the criteria to have their course funded by the Government or the course is being run on a purely commercial basis a self-funded fee will be charged at the beginning of the course. This fee will include: </w:t>
      </w:r>
    </w:p>
    <w:p w14:paraId="7EF885F5" w14:textId="77777777" w:rsidR="00184811" w:rsidRPr="00BF0561" w:rsidRDefault="00184811" w:rsidP="00466C6B">
      <w:pPr>
        <w:pStyle w:val="Default"/>
        <w:numPr>
          <w:ilvl w:val="0"/>
          <w:numId w:val="5"/>
        </w:numPr>
      </w:pPr>
      <w:r w:rsidRPr="00BF0561">
        <w:t xml:space="preserve">Tuition Fees for all programme elements </w:t>
      </w:r>
    </w:p>
    <w:p w14:paraId="1F38115A" w14:textId="77777777" w:rsidR="00184811" w:rsidRPr="00BF0561" w:rsidRDefault="00184811" w:rsidP="00466C6B">
      <w:pPr>
        <w:pStyle w:val="Default"/>
        <w:numPr>
          <w:ilvl w:val="0"/>
          <w:numId w:val="5"/>
        </w:numPr>
      </w:pPr>
      <w:r w:rsidRPr="00BF0561">
        <w:t xml:space="preserve">Registration, Examination and Assessment Fees where applicable </w:t>
      </w:r>
    </w:p>
    <w:p w14:paraId="6CFE7604" w14:textId="7316B589" w:rsidR="00B93AC0" w:rsidRPr="00534229" w:rsidRDefault="00184811" w:rsidP="00466C6B">
      <w:pPr>
        <w:pStyle w:val="Default"/>
        <w:numPr>
          <w:ilvl w:val="0"/>
          <w:numId w:val="5"/>
        </w:numPr>
      </w:pPr>
      <w:r w:rsidRPr="00BF0561">
        <w:t xml:space="preserve">Additional consumables and protective clothing fees may be payable as a requirement of the course (Ancillary fees) </w:t>
      </w:r>
    </w:p>
    <w:p w14:paraId="79026F43" w14:textId="77777777" w:rsidR="003457B8" w:rsidRPr="00BF0561" w:rsidRDefault="003457B8" w:rsidP="003457B8">
      <w:pPr>
        <w:rPr>
          <w:b/>
        </w:rPr>
      </w:pPr>
      <w:r w:rsidRPr="00BF0561">
        <w:rPr>
          <w:b/>
        </w:rPr>
        <w:t>ESFA</w:t>
      </w:r>
    </w:p>
    <w:p w14:paraId="6D734843" w14:textId="77777777" w:rsidR="003457B8" w:rsidRPr="00BF0561" w:rsidRDefault="003457B8" w:rsidP="003457B8">
      <w:r w:rsidRPr="00BF0561">
        <w:t>This is the Educational Skills Funding Agency and is the organisation responsible for administering the distribution of Government funding of Further Education.</w:t>
      </w:r>
    </w:p>
    <w:p w14:paraId="7AA813F8" w14:textId="6EEC63C1" w:rsidR="003457B8" w:rsidRPr="00BF0561" w:rsidRDefault="003457B8" w:rsidP="003457B8">
      <w:pPr>
        <w:rPr>
          <w:b/>
        </w:rPr>
      </w:pPr>
      <w:r w:rsidRPr="00BF0561">
        <w:rPr>
          <w:b/>
        </w:rPr>
        <w:t>A</w:t>
      </w:r>
      <w:r w:rsidR="001447CD">
        <w:rPr>
          <w:b/>
        </w:rPr>
        <w:t>SF</w:t>
      </w:r>
    </w:p>
    <w:p w14:paraId="71368C68" w14:textId="280BB553" w:rsidR="00184811" w:rsidRPr="00254B91" w:rsidRDefault="003457B8" w:rsidP="00254B91">
      <w:r w:rsidRPr="00BF0561">
        <w:t>Th</w:t>
      </w:r>
      <w:r w:rsidR="00215B97" w:rsidRPr="00BF0561">
        <w:t xml:space="preserve">e Adult </w:t>
      </w:r>
      <w:r w:rsidR="001447CD">
        <w:t>Skills Fund</w:t>
      </w:r>
      <w:r w:rsidRPr="00BF0561">
        <w:t xml:space="preserve"> is the generic name given to the funding grants distributed by the ESFA to further education institutions such as </w:t>
      </w:r>
      <w:r w:rsidR="00D96F73">
        <w:t>the college</w:t>
      </w:r>
      <w:r w:rsidRPr="00BF0561">
        <w:t>.</w:t>
      </w:r>
    </w:p>
    <w:sectPr w:rsidR="00184811" w:rsidRPr="00254B91" w:rsidSect="00DF6DCE">
      <w:headerReference w:type="default" r:id="rId11"/>
      <w:footerReference w:type="default" r:id="rId1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C29DC" w14:textId="77777777" w:rsidR="00423B02" w:rsidRDefault="00423B02" w:rsidP="00460F0A">
      <w:pPr>
        <w:spacing w:after="0" w:line="240" w:lineRule="auto"/>
      </w:pPr>
      <w:r>
        <w:separator/>
      </w:r>
    </w:p>
  </w:endnote>
  <w:endnote w:type="continuationSeparator" w:id="0">
    <w:p w14:paraId="01C6D68E" w14:textId="77777777" w:rsidR="00423B02" w:rsidRDefault="00423B02" w:rsidP="00460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42187" w14:textId="77777777" w:rsidR="00460F0A" w:rsidRPr="001E1E24" w:rsidRDefault="00460F0A">
    <w:pPr>
      <w:pStyle w:val="Footer"/>
      <w:rPr>
        <w:sz w:val="20"/>
        <w:szCs w:val="20"/>
      </w:rPr>
    </w:pPr>
    <w:r w:rsidRPr="001E1E24">
      <w:rPr>
        <w:noProof/>
        <w:sz w:val="20"/>
        <w:szCs w:val="20"/>
        <w:lang w:eastAsia="en-GB"/>
      </w:rPr>
      <mc:AlternateContent>
        <mc:Choice Requires="wps">
          <w:drawing>
            <wp:anchor distT="0" distB="0" distL="114300" distR="114300" simplePos="0" relativeHeight="251657728" behindDoc="0" locked="0" layoutInCell="1" allowOverlap="1" wp14:anchorId="5364F416" wp14:editId="62F4D4C5">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5937D8E" w14:textId="77777777" w:rsidR="00460F0A" w:rsidRPr="00460F0A" w:rsidRDefault="00460F0A">
                          <w:pPr>
                            <w:pStyle w:val="Footer"/>
                            <w:jc w:val="right"/>
                            <w:rPr>
                              <w:rFonts w:asciiTheme="majorHAnsi" w:hAnsiTheme="majorHAnsi"/>
                              <w:color w:val="000000" w:themeColor="text1"/>
                              <w:szCs w:val="40"/>
                            </w:rPr>
                          </w:pPr>
                          <w:r w:rsidRPr="00460F0A">
                            <w:rPr>
                              <w:rFonts w:asciiTheme="majorHAnsi" w:hAnsiTheme="majorHAnsi"/>
                              <w:color w:val="000000" w:themeColor="text1"/>
                              <w:szCs w:val="40"/>
                            </w:rPr>
                            <w:fldChar w:fldCharType="begin"/>
                          </w:r>
                          <w:r w:rsidRPr="00460F0A">
                            <w:rPr>
                              <w:rFonts w:asciiTheme="majorHAnsi" w:hAnsiTheme="majorHAnsi"/>
                              <w:color w:val="000000" w:themeColor="text1"/>
                              <w:szCs w:val="40"/>
                            </w:rPr>
                            <w:instrText xml:space="preserve"> PAGE  \* Arabic  \* MERGEFORMAT </w:instrText>
                          </w:r>
                          <w:r w:rsidRPr="00460F0A">
                            <w:rPr>
                              <w:rFonts w:asciiTheme="majorHAnsi" w:hAnsiTheme="majorHAnsi"/>
                              <w:color w:val="000000" w:themeColor="text1"/>
                              <w:szCs w:val="40"/>
                            </w:rPr>
                            <w:fldChar w:fldCharType="separate"/>
                          </w:r>
                          <w:r w:rsidR="001D3DCA">
                            <w:rPr>
                              <w:rFonts w:asciiTheme="majorHAnsi" w:hAnsiTheme="majorHAnsi"/>
                              <w:noProof/>
                              <w:color w:val="000000" w:themeColor="text1"/>
                              <w:szCs w:val="40"/>
                            </w:rPr>
                            <w:t>2</w:t>
                          </w:r>
                          <w:r w:rsidRPr="00460F0A">
                            <w:rPr>
                              <w:rFonts w:asciiTheme="majorHAnsi" w:hAnsiTheme="majorHAnsi"/>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64F416" id="_x0000_t202" coordsize="21600,21600" o:spt="202" path="m,l,21600r21600,l21600,xe">
              <v:stroke joinstyle="miter"/>
              <v:path gradientshapeok="t" o:connecttype="rect"/>
            </v:shapetype>
            <v:shape id="Text Box 56" o:spid="_x0000_s1026" type="#_x0000_t202" style="position:absolute;margin-left:67.6pt;margin-top:0;width:118.8pt;height:31.15pt;z-index:25165772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14:paraId="65937D8E" w14:textId="77777777" w:rsidR="00460F0A" w:rsidRPr="00460F0A" w:rsidRDefault="00460F0A">
                    <w:pPr>
                      <w:pStyle w:val="Footer"/>
                      <w:jc w:val="right"/>
                      <w:rPr>
                        <w:rFonts w:asciiTheme="majorHAnsi" w:hAnsiTheme="majorHAnsi"/>
                        <w:color w:val="000000" w:themeColor="text1"/>
                        <w:szCs w:val="40"/>
                      </w:rPr>
                    </w:pPr>
                    <w:r w:rsidRPr="00460F0A">
                      <w:rPr>
                        <w:rFonts w:asciiTheme="majorHAnsi" w:hAnsiTheme="majorHAnsi"/>
                        <w:color w:val="000000" w:themeColor="text1"/>
                        <w:szCs w:val="40"/>
                      </w:rPr>
                      <w:fldChar w:fldCharType="begin"/>
                    </w:r>
                    <w:r w:rsidRPr="00460F0A">
                      <w:rPr>
                        <w:rFonts w:asciiTheme="majorHAnsi" w:hAnsiTheme="majorHAnsi"/>
                        <w:color w:val="000000" w:themeColor="text1"/>
                        <w:szCs w:val="40"/>
                      </w:rPr>
                      <w:instrText xml:space="preserve"> PAGE  \* Arabic  \* MERGEFORMAT </w:instrText>
                    </w:r>
                    <w:r w:rsidRPr="00460F0A">
                      <w:rPr>
                        <w:rFonts w:asciiTheme="majorHAnsi" w:hAnsiTheme="majorHAnsi"/>
                        <w:color w:val="000000" w:themeColor="text1"/>
                        <w:szCs w:val="40"/>
                      </w:rPr>
                      <w:fldChar w:fldCharType="separate"/>
                    </w:r>
                    <w:r w:rsidR="001D3DCA">
                      <w:rPr>
                        <w:rFonts w:asciiTheme="majorHAnsi" w:hAnsiTheme="majorHAnsi"/>
                        <w:noProof/>
                        <w:color w:val="000000" w:themeColor="text1"/>
                        <w:szCs w:val="40"/>
                      </w:rPr>
                      <w:t>2</w:t>
                    </w:r>
                    <w:r w:rsidRPr="00460F0A">
                      <w:rPr>
                        <w:rFonts w:asciiTheme="majorHAnsi" w:hAnsiTheme="majorHAnsi"/>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C4CEB" w14:textId="77777777" w:rsidR="00423B02" w:rsidRDefault="00423B02" w:rsidP="00460F0A">
      <w:pPr>
        <w:spacing w:after="0" w:line="240" w:lineRule="auto"/>
      </w:pPr>
      <w:r>
        <w:separator/>
      </w:r>
    </w:p>
  </w:footnote>
  <w:footnote w:type="continuationSeparator" w:id="0">
    <w:p w14:paraId="10C8565B" w14:textId="77777777" w:rsidR="00423B02" w:rsidRDefault="00423B02" w:rsidP="00460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FFC0F" w14:textId="77777777" w:rsidR="001E1E24" w:rsidRDefault="00E53A43" w:rsidP="00E53A43">
    <w:pPr>
      <w:pStyle w:val="Header"/>
      <w:jc w:val="right"/>
    </w:pPr>
    <w:r>
      <w:rPr>
        <w:noProof/>
        <w:lang w:eastAsia="en-GB"/>
      </w:rPr>
      <w:drawing>
        <wp:anchor distT="0" distB="0" distL="114300" distR="114300" simplePos="0" relativeHeight="251659776" behindDoc="0" locked="0" layoutInCell="1" allowOverlap="1" wp14:anchorId="1AEFE48C" wp14:editId="001F7F58">
          <wp:simplePos x="0" y="0"/>
          <wp:positionH relativeFrom="column">
            <wp:posOffset>4537710</wp:posOffset>
          </wp:positionH>
          <wp:positionV relativeFrom="paragraph">
            <wp:posOffset>-276225</wp:posOffset>
          </wp:positionV>
          <wp:extent cx="2002155" cy="696595"/>
          <wp:effectExtent l="0" t="0" r="0" b="8255"/>
          <wp:wrapSquare wrapText="bothSides"/>
          <wp:docPr id="2" name="Picture 2" descr="Southend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endLogo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155" cy="6965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575591E1" w14:textId="77777777" w:rsidR="00E53A43" w:rsidRDefault="00E53A43" w:rsidP="00E53A43">
    <w:pPr>
      <w:pStyle w:val="Header"/>
      <w:jc w:val="right"/>
    </w:pPr>
  </w:p>
  <w:p w14:paraId="08CA5B0E" w14:textId="77777777" w:rsidR="00E53A43" w:rsidRPr="00E53A43" w:rsidRDefault="00E53A43" w:rsidP="00E53A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684E"/>
    <w:multiLevelType w:val="hybridMultilevel"/>
    <w:tmpl w:val="8FA6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F3CDF"/>
    <w:multiLevelType w:val="hybridMultilevel"/>
    <w:tmpl w:val="01DCCC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C4F3C"/>
    <w:multiLevelType w:val="hybridMultilevel"/>
    <w:tmpl w:val="731EE8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896C43"/>
    <w:multiLevelType w:val="hybridMultilevel"/>
    <w:tmpl w:val="1854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952E0"/>
    <w:multiLevelType w:val="hybridMultilevel"/>
    <w:tmpl w:val="43A211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8D19BC"/>
    <w:multiLevelType w:val="hybridMultilevel"/>
    <w:tmpl w:val="842619EE"/>
    <w:lvl w:ilvl="0" w:tplc="08090019">
      <w:start w:val="1"/>
      <w:numFmt w:val="lowerLetter"/>
      <w:lvlText w:val="%1."/>
      <w:lvlJc w:val="left"/>
      <w:pPr>
        <w:ind w:left="360" w:hanging="360"/>
      </w:pPr>
    </w:lvl>
    <w:lvl w:ilvl="1" w:tplc="08090019">
      <w:start w:val="1"/>
      <w:numFmt w:val="lowerLetter"/>
      <w:lvlText w:val="%2."/>
      <w:lvlJc w:val="left"/>
      <w:pPr>
        <w:ind w:left="36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696EF7"/>
    <w:multiLevelType w:val="hybridMultilevel"/>
    <w:tmpl w:val="95B6F4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C7DFF"/>
    <w:multiLevelType w:val="hybridMultilevel"/>
    <w:tmpl w:val="FD4867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B25DB4"/>
    <w:multiLevelType w:val="hybridMultilevel"/>
    <w:tmpl w:val="47CA7C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FC7C35"/>
    <w:multiLevelType w:val="hybridMultilevel"/>
    <w:tmpl w:val="4D38E4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D35B32"/>
    <w:multiLevelType w:val="hybridMultilevel"/>
    <w:tmpl w:val="CB0ABB44"/>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AE6F79"/>
    <w:multiLevelType w:val="hybridMultilevel"/>
    <w:tmpl w:val="80B2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07C20"/>
    <w:multiLevelType w:val="hybridMultilevel"/>
    <w:tmpl w:val="43268C4E"/>
    <w:lvl w:ilvl="0" w:tplc="08090019">
      <w:start w:val="1"/>
      <w:numFmt w:val="lowerLetter"/>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CF7006"/>
    <w:multiLevelType w:val="hybridMultilevel"/>
    <w:tmpl w:val="CF0C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A6296A"/>
    <w:multiLevelType w:val="hybridMultilevel"/>
    <w:tmpl w:val="C99E3A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9448EC"/>
    <w:multiLevelType w:val="hybridMultilevel"/>
    <w:tmpl w:val="C22EF2A6"/>
    <w:lvl w:ilvl="0" w:tplc="08090019">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064EA4"/>
    <w:multiLevelType w:val="hybridMultilevel"/>
    <w:tmpl w:val="58DE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1A3F4D"/>
    <w:multiLevelType w:val="hybridMultilevel"/>
    <w:tmpl w:val="7D68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447243"/>
    <w:multiLevelType w:val="hybridMultilevel"/>
    <w:tmpl w:val="24DEA6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D758CC"/>
    <w:multiLevelType w:val="hybridMultilevel"/>
    <w:tmpl w:val="F8BCD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6201D0"/>
    <w:multiLevelType w:val="hybridMultilevel"/>
    <w:tmpl w:val="835AB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415F11"/>
    <w:multiLevelType w:val="hybridMultilevel"/>
    <w:tmpl w:val="695C6416"/>
    <w:lvl w:ilvl="0" w:tplc="E36EB7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A4C0D35"/>
    <w:multiLevelType w:val="hybridMultilevel"/>
    <w:tmpl w:val="C6AE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188408">
    <w:abstractNumId w:val="10"/>
  </w:num>
  <w:num w:numId="2" w16cid:durableId="164979968">
    <w:abstractNumId w:val="12"/>
  </w:num>
  <w:num w:numId="3" w16cid:durableId="1628076680">
    <w:abstractNumId w:val="3"/>
  </w:num>
  <w:num w:numId="4" w16cid:durableId="883714241">
    <w:abstractNumId w:val="11"/>
  </w:num>
  <w:num w:numId="5" w16cid:durableId="1281188838">
    <w:abstractNumId w:val="13"/>
  </w:num>
  <w:num w:numId="6" w16cid:durableId="14119740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0710863">
    <w:abstractNumId w:val="0"/>
  </w:num>
  <w:num w:numId="8" w16cid:durableId="425075531">
    <w:abstractNumId w:val="22"/>
  </w:num>
  <w:num w:numId="9" w16cid:durableId="673652421">
    <w:abstractNumId w:val="17"/>
  </w:num>
  <w:num w:numId="10" w16cid:durableId="566572272">
    <w:abstractNumId w:val="16"/>
  </w:num>
  <w:num w:numId="11" w16cid:durableId="533033536">
    <w:abstractNumId w:val="7"/>
  </w:num>
  <w:num w:numId="12" w16cid:durableId="1453744416">
    <w:abstractNumId w:val="15"/>
  </w:num>
  <w:num w:numId="13" w16cid:durableId="1814981727">
    <w:abstractNumId w:val="19"/>
  </w:num>
  <w:num w:numId="14" w16cid:durableId="1644236254">
    <w:abstractNumId w:val="21"/>
  </w:num>
  <w:num w:numId="15" w16cid:durableId="891891751">
    <w:abstractNumId w:val="2"/>
  </w:num>
  <w:num w:numId="16" w16cid:durableId="1620604818">
    <w:abstractNumId w:val="1"/>
  </w:num>
  <w:num w:numId="17" w16cid:durableId="265115043">
    <w:abstractNumId w:val="9"/>
  </w:num>
  <w:num w:numId="18" w16cid:durableId="1192650234">
    <w:abstractNumId w:val="6"/>
  </w:num>
  <w:num w:numId="19" w16cid:durableId="1417752768">
    <w:abstractNumId w:val="8"/>
  </w:num>
  <w:num w:numId="20" w16cid:durableId="1983735452">
    <w:abstractNumId w:val="18"/>
  </w:num>
  <w:num w:numId="21" w16cid:durableId="1421488919">
    <w:abstractNumId w:val="20"/>
  </w:num>
  <w:num w:numId="22" w16cid:durableId="302081786">
    <w:abstractNumId w:val="4"/>
  </w:num>
  <w:num w:numId="23" w16cid:durableId="11556488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4CB"/>
    <w:rsid w:val="000137D0"/>
    <w:rsid w:val="00017A16"/>
    <w:rsid w:val="0002087A"/>
    <w:rsid w:val="0003108F"/>
    <w:rsid w:val="000356D3"/>
    <w:rsid w:val="00037AF3"/>
    <w:rsid w:val="0004108F"/>
    <w:rsid w:val="00044D70"/>
    <w:rsid w:val="00047FD4"/>
    <w:rsid w:val="0005463F"/>
    <w:rsid w:val="00055B39"/>
    <w:rsid w:val="00074599"/>
    <w:rsid w:val="00084A5E"/>
    <w:rsid w:val="000873A3"/>
    <w:rsid w:val="00091A95"/>
    <w:rsid w:val="00096A5C"/>
    <w:rsid w:val="000A0735"/>
    <w:rsid w:val="000A2827"/>
    <w:rsid w:val="000A62E4"/>
    <w:rsid w:val="000B5275"/>
    <w:rsid w:val="000C5EFE"/>
    <w:rsid w:val="000D2877"/>
    <w:rsid w:val="000E5A75"/>
    <w:rsid w:val="0010166A"/>
    <w:rsid w:val="001039E0"/>
    <w:rsid w:val="0010681D"/>
    <w:rsid w:val="00121C0B"/>
    <w:rsid w:val="0012726A"/>
    <w:rsid w:val="001316CD"/>
    <w:rsid w:val="00133AC5"/>
    <w:rsid w:val="001411AA"/>
    <w:rsid w:val="0014154C"/>
    <w:rsid w:val="001447CD"/>
    <w:rsid w:val="00144E8C"/>
    <w:rsid w:val="00150A26"/>
    <w:rsid w:val="0015393A"/>
    <w:rsid w:val="00175AAE"/>
    <w:rsid w:val="001771DE"/>
    <w:rsid w:val="00184811"/>
    <w:rsid w:val="001858CC"/>
    <w:rsid w:val="00193FF0"/>
    <w:rsid w:val="001A0333"/>
    <w:rsid w:val="001A7DDA"/>
    <w:rsid w:val="001D3DCA"/>
    <w:rsid w:val="001D4277"/>
    <w:rsid w:val="001E1E24"/>
    <w:rsid w:val="001E5B60"/>
    <w:rsid w:val="001E6488"/>
    <w:rsid w:val="001F3023"/>
    <w:rsid w:val="00212F6B"/>
    <w:rsid w:val="002146C8"/>
    <w:rsid w:val="00215B97"/>
    <w:rsid w:val="002254CF"/>
    <w:rsid w:val="00237C95"/>
    <w:rsid w:val="00254B91"/>
    <w:rsid w:val="0026157E"/>
    <w:rsid w:val="00261862"/>
    <w:rsid w:val="002620C4"/>
    <w:rsid w:val="00264058"/>
    <w:rsid w:val="00276F26"/>
    <w:rsid w:val="00277983"/>
    <w:rsid w:val="00292825"/>
    <w:rsid w:val="002935DB"/>
    <w:rsid w:val="002965B6"/>
    <w:rsid w:val="002A0640"/>
    <w:rsid w:val="002A0759"/>
    <w:rsid w:val="002A2299"/>
    <w:rsid w:val="002A27A2"/>
    <w:rsid w:val="002A4CF3"/>
    <w:rsid w:val="002A7EB6"/>
    <w:rsid w:val="002B5417"/>
    <w:rsid w:val="002B73F1"/>
    <w:rsid w:val="002C178C"/>
    <w:rsid w:val="002C7D22"/>
    <w:rsid w:val="002D2E5A"/>
    <w:rsid w:val="002D5ABC"/>
    <w:rsid w:val="002D5D27"/>
    <w:rsid w:val="002D643F"/>
    <w:rsid w:val="002E06D9"/>
    <w:rsid w:val="002E6386"/>
    <w:rsid w:val="002F2FAC"/>
    <w:rsid w:val="003245DA"/>
    <w:rsid w:val="00325E82"/>
    <w:rsid w:val="0034030A"/>
    <w:rsid w:val="00344A63"/>
    <w:rsid w:val="003457B8"/>
    <w:rsid w:val="00352B0B"/>
    <w:rsid w:val="00355FFB"/>
    <w:rsid w:val="003628BF"/>
    <w:rsid w:val="00363BBA"/>
    <w:rsid w:val="00371B5E"/>
    <w:rsid w:val="003730B2"/>
    <w:rsid w:val="00382AF5"/>
    <w:rsid w:val="00385D50"/>
    <w:rsid w:val="00391CEC"/>
    <w:rsid w:val="00392059"/>
    <w:rsid w:val="0039708F"/>
    <w:rsid w:val="003A4E54"/>
    <w:rsid w:val="003A5722"/>
    <w:rsid w:val="003A5E4C"/>
    <w:rsid w:val="003C1357"/>
    <w:rsid w:val="003C20F8"/>
    <w:rsid w:val="003C3140"/>
    <w:rsid w:val="003C57EC"/>
    <w:rsid w:val="003C5932"/>
    <w:rsid w:val="003C5EB7"/>
    <w:rsid w:val="003D19BB"/>
    <w:rsid w:val="003D66FF"/>
    <w:rsid w:val="003D6E61"/>
    <w:rsid w:val="003E1454"/>
    <w:rsid w:val="003E38E0"/>
    <w:rsid w:val="003F2CA1"/>
    <w:rsid w:val="0041344A"/>
    <w:rsid w:val="00422482"/>
    <w:rsid w:val="00423B02"/>
    <w:rsid w:val="00435410"/>
    <w:rsid w:val="00437EE9"/>
    <w:rsid w:val="00444CD6"/>
    <w:rsid w:val="00447EAE"/>
    <w:rsid w:val="00454DF7"/>
    <w:rsid w:val="00456174"/>
    <w:rsid w:val="00460F0A"/>
    <w:rsid w:val="00461198"/>
    <w:rsid w:val="00462A44"/>
    <w:rsid w:val="00466C6B"/>
    <w:rsid w:val="004808A4"/>
    <w:rsid w:val="004A35F7"/>
    <w:rsid w:val="004A4DA9"/>
    <w:rsid w:val="004A5C8B"/>
    <w:rsid w:val="004C1D44"/>
    <w:rsid w:val="004D0A64"/>
    <w:rsid w:val="004D585A"/>
    <w:rsid w:val="004D7DCC"/>
    <w:rsid w:val="004E2FC3"/>
    <w:rsid w:val="004E6A09"/>
    <w:rsid w:val="00506D4F"/>
    <w:rsid w:val="00507119"/>
    <w:rsid w:val="00516787"/>
    <w:rsid w:val="00523F30"/>
    <w:rsid w:val="00524993"/>
    <w:rsid w:val="00534229"/>
    <w:rsid w:val="00536FF1"/>
    <w:rsid w:val="00540A88"/>
    <w:rsid w:val="00543106"/>
    <w:rsid w:val="00567731"/>
    <w:rsid w:val="00572A9A"/>
    <w:rsid w:val="00586D4D"/>
    <w:rsid w:val="00591561"/>
    <w:rsid w:val="005919A6"/>
    <w:rsid w:val="00592833"/>
    <w:rsid w:val="005A4385"/>
    <w:rsid w:val="005A512C"/>
    <w:rsid w:val="005B0AF1"/>
    <w:rsid w:val="005C339F"/>
    <w:rsid w:val="005D5749"/>
    <w:rsid w:val="005F3563"/>
    <w:rsid w:val="005F4D2F"/>
    <w:rsid w:val="005F4D37"/>
    <w:rsid w:val="0060373C"/>
    <w:rsid w:val="00614A89"/>
    <w:rsid w:val="006207C0"/>
    <w:rsid w:val="00623BDF"/>
    <w:rsid w:val="00624413"/>
    <w:rsid w:val="0062694A"/>
    <w:rsid w:val="006278A6"/>
    <w:rsid w:val="00632F27"/>
    <w:rsid w:val="006531C9"/>
    <w:rsid w:val="00654511"/>
    <w:rsid w:val="00657165"/>
    <w:rsid w:val="006578D7"/>
    <w:rsid w:val="00680AF5"/>
    <w:rsid w:val="00680BFE"/>
    <w:rsid w:val="00682210"/>
    <w:rsid w:val="006834E3"/>
    <w:rsid w:val="0068462A"/>
    <w:rsid w:val="00695152"/>
    <w:rsid w:val="00696C2B"/>
    <w:rsid w:val="00697174"/>
    <w:rsid w:val="006A325B"/>
    <w:rsid w:val="006A52C4"/>
    <w:rsid w:val="006B54CB"/>
    <w:rsid w:val="006B6D53"/>
    <w:rsid w:val="006C1970"/>
    <w:rsid w:val="006C5D0F"/>
    <w:rsid w:val="006C6C07"/>
    <w:rsid w:val="006D0C05"/>
    <w:rsid w:val="006D0E5B"/>
    <w:rsid w:val="006D25D8"/>
    <w:rsid w:val="006D39D9"/>
    <w:rsid w:val="006D5794"/>
    <w:rsid w:val="006E45A9"/>
    <w:rsid w:val="006E6B13"/>
    <w:rsid w:val="006E7A19"/>
    <w:rsid w:val="006F26E6"/>
    <w:rsid w:val="00707D67"/>
    <w:rsid w:val="00716DD3"/>
    <w:rsid w:val="007251B7"/>
    <w:rsid w:val="007277BD"/>
    <w:rsid w:val="0073316E"/>
    <w:rsid w:val="0075161D"/>
    <w:rsid w:val="00751EC4"/>
    <w:rsid w:val="007665CC"/>
    <w:rsid w:val="00771742"/>
    <w:rsid w:val="0077640B"/>
    <w:rsid w:val="007909AE"/>
    <w:rsid w:val="0079374C"/>
    <w:rsid w:val="00795768"/>
    <w:rsid w:val="007A5790"/>
    <w:rsid w:val="007C5754"/>
    <w:rsid w:val="007C6567"/>
    <w:rsid w:val="007D0215"/>
    <w:rsid w:val="007E0A38"/>
    <w:rsid w:val="007E697C"/>
    <w:rsid w:val="007F1B64"/>
    <w:rsid w:val="00803318"/>
    <w:rsid w:val="008079FB"/>
    <w:rsid w:val="00810266"/>
    <w:rsid w:val="00810B07"/>
    <w:rsid w:val="008127B5"/>
    <w:rsid w:val="00812871"/>
    <w:rsid w:val="00823746"/>
    <w:rsid w:val="00832769"/>
    <w:rsid w:val="00845BC3"/>
    <w:rsid w:val="00850CB4"/>
    <w:rsid w:val="00855B6B"/>
    <w:rsid w:val="00866433"/>
    <w:rsid w:val="008751EA"/>
    <w:rsid w:val="008774C4"/>
    <w:rsid w:val="00883B3B"/>
    <w:rsid w:val="008A06F3"/>
    <w:rsid w:val="008A7AD7"/>
    <w:rsid w:val="008B5682"/>
    <w:rsid w:val="008C0CEC"/>
    <w:rsid w:val="008D5556"/>
    <w:rsid w:val="008D6620"/>
    <w:rsid w:val="008F3904"/>
    <w:rsid w:val="00907C7B"/>
    <w:rsid w:val="009145FD"/>
    <w:rsid w:val="00921D50"/>
    <w:rsid w:val="00922C1C"/>
    <w:rsid w:val="009446AE"/>
    <w:rsid w:val="00945724"/>
    <w:rsid w:val="00945ADD"/>
    <w:rsid w:val="00961660"/>
    <w:rsid w:val="009747B7"/>
    <w:rsid w:val="009757AC"/>
    <w:rsid w:val="0097727B"/>
    <w:rsid w:val="00981F0E"/>
    <w:rsid w:val="009820C6"/>
    <w:rsid w:val="00982B17"/>
    <w:rsid w:val="00985F59"/>
    <w:rsid w:val="009A1B64"/>
    <w:rsid w:val="009A1FAD"/>
    <w:rsid w:val="009A7397"/>
    <w:rsid w:val="009B1ADE"/>
    <w:rsid w:val="009B33EF"/>
    <w:rsid w:val="009B5B51"/>
    <w:rsid w:val="009C6A98"/>
    <w:rsid w:val="009D6213"/>
    <w:rsid w:val="009D69AE"/>
    <w:rsid w:val="009E2060"/>
    <w:rsid w:val="009E3A3D"/>
    <w:rsid w:val="009E59C9"/>
    <w:rsid w:val="009E7FC8"/>
    <w:rsid w:val="009F1665"/>
    <w:rsid w:val="009F191D"/>
    <w:rsid w:val="009F26E0"/>
    <w:rsid w:val="009F5D80"/>
    <w:rsid w:val="009F71EB"/>
    <w:rsid w:val="00A03EBF"/>
    <w:rsid w:val="00A0510C"/>
    <w:rsid w:val="00A05A76"/>
    <w:rsid w:val="00A06DD4"/>
    <w:rsid w:val="00A07773"/>
    <w:rsid w:val="00A07D8D"/>
    <w:rsid w:val="00A11AAC"/>
    <w:rsid w:val="00A304FD"/>
    <w:rsid w:val="00A37A48"/>
    <w:rsid w:val="00A414B3"/>
    <w:rsid w:val="00A4265F"/>
    <w:rsid w:val="00A458CF"/>
    <w:rsid w:val="00A522FD"/>
    <w:rsid w:val="00A7593A"/>
    <w:rsid w:val="00A81E89"/>
    <w:rsid w:val="00A82A34"/>
    <w:rsid w:val="00A96DA0"/>
    <w:rsid w:val="00AA009B"/>
    <w:rsid w:val="00AA2F82"/>
    <w:rsid w:val="00AA5BF5"/>
    <w:rsid w:val="00AB447C"/>
    <w:rsid w:val="00AC2EA8"/>
    <w:rsid w:val="00AC41E9"/>
    <w:rsid w:val="00AD64A6"/>
    <w:rsid w:val="00AF38C9"/>
    <w:rsid w:val="00AF61D1"/>
    <w:rsid w:val="00B0161E"/>
    <w:rsid w:val="00B04744"/>
    <w:rsid w:val="00B12EE9"/>
    <w:rsid w:val="00B156B0"/>
    <w:rsid w:val="00B25CF6"/>
    <w:rsid w:val="00B26715"/>
    <w:rsid w:val="00B3289B"/>
    <w:rsid w:val="00B33433"/>
    <w:rsid w:val="00B33FEE"/>
    <w:rsid w:val="00B35CEC"/>
    <w:rsid w:val="00B52394"/>
    <w:rsid w:val="00B60019"/>
    <w:rsid w:val="00B6774E"/>
    <w:rsid w:val="00B77933"/>
    <w:rsid w:val="00B84ADA"/>
    <w:rsid w:val="00B93AC0"/>
    <w:rsid w:val="00B97DB2"/>
    <w:rsid w:val="00BB7ADE"/>
    <w:rsid w:val="00BC1B08"/>
    <w:rsid w:val="00BC2A4E"/>
    <w:rsid w:val="00BD2523"/>
    <w:rsid w:val="00BD7D47"/>
    <w:rsid w:val="00BE64EC"/>
    <w:rsid w:val="00BF04FF"/>
    <w:rsid w:val="00BF0561"/>
    <w:rsid w:val="00BF7636"/>
    <w:rsid w:val="00C15181"/>
    <w:rsid w:val="00C266AF"/>
    <w:rsid w:val="00C277EC"/>
    <w:rsid w:val="00C301DC"/>
    <w:rsid w:val="00C30762"/>
    <w:rsid w:val="00C34B92"/>
    <w:rsid w:val="00C37763"/>
    <w:rsid w:val="00C46819"/>
    <w:rsid w:val="00C523A2"/>
    <w:rsid w:val="00C644F9"/>
    <w:rsid w:val="00C64C99"/>
    <w:rsid w:val="00C73EFD"/>
    <w:rsid w:val="00C751B5"/>
    <w:rsid w:val="00C7701F"/>
    <w:rsid w:val="00C84171"/>
    <w:rsid w:val="00C93320"/>
    <w:rsid w:val="00CB6850"/>
    <w:rsid w:val="00CE268F"/>
    <w:rsid w:val="00CE4442"/>
    <w:rsid w:val="00CF4F67"/>
    <w:rsid w:val="00D03325"/>
    <w:rsid w:val="00D11885"/>
    <w:rsid w:val="00D2276D"/>
    <w:rsid w:val="00D425B9"/>
    <w:rsid w:val="00D438F1"/>
    <w:rsid w:val="00D62544"/>
    <w:rsid w:val="00D71CAA"/>
    <w:rsid w:val="00D72048"/>
    <w:rsid w:val="00D756CF"/>
    <w:rsid w:val="00D80EC8"/>
    <w:rsid w:val="00D902D1"/>
    <w:rsid w:val="00D914B8"/>
    <w:rsid w:val="00D96F73"/>
    <w:rsid w:val="00DA0267"/>
    <w:rsid w:val="00DA3DB6"/>
    <w:rsid w:val="00DA54B1"/>
    <w:rsid w:val="00DB2BAB"/>
    <w:rsid w:val="00DB3C81"/>
    <w:rsid w:val="00DC6F32"/>
    <w:rsid w:val="00DC729E"/>
    <w:rsid w:val="00DD5909"/>
    <w:rsid w:val="00DE761B"/>
    <w:rsid w:val="00DF6DCE"/>
    <w:rsid w:val="00E065A9"/>
    <w:rsid w:val="00E10F0F"/>
    <w:rsid w:val="00E20C58"/>
    <w:rsid w:val="00E271E1"/>
    <w:rsid w:val="00E30737"/>
    <w:rsid w:val="00E431D2"/>
    <w:rsid w:val="00E50A0B"/>
    <w:rsid w:val="00E53A43"/>
    <w:rsid w:val="00E55659"/>
    <w:rsid w:val="00E56672"/>
    <w:rsid w:val="00E6436E"/>
    <w:rsid w:val="00E65588"/>
    <w:rsid w:val="00E74A27"/>
    <w:rsid w:val="00E762E1"/>
    <w:rsid w:val="00E81C9F"/>
    <w:rsid w:val="00EB35BB"/>
    <w:rsid w:val="00EC0B32"/>
    <w:rsid w:val="00EC2991"/>
    <w:rsid w:val="00EC2C24"/>
    <w:rsid w:val="00EC7D6F"/>
    <w:rsid w:val="00ED1390"/>
    <w:rsid w:val="00ED402F"/>
    <w:rsid w:val="00EE0E08"/>
    <w:rsid w:val="00F01D4A"/>
    <w:rsid w:val="00F05C08"/>
    <w:rsid w:val="00F064C3"/>
    <w:rsid w:val="00F06D54"/>
    <w:rsid w:val="00F12791"/>
    <w:rsid w:val="00F17493"/>
    <w:rsid w:val="00F2059D"/>
    <w:rsid w:val="00F22334"/>
    <w:rsid w:val="00F22B95"/>
    <w:rsid w:val="00F31F5D"/>
    <w:rsid w:val="00F33279"/>
    <w:rsid w:val="00F35970"/>
    <w:rsid w:val="00F40CB5"/>
    <w:rsid w:val="00F4264C"/>
    <w:rsid w:val="00F443F1"/>
    <w:rsid w:val="00F661DC"/>
    <w:rsid w:val="00F70F42"/>
    <w:rsid w:val="00F73CD1"/>
    <w:rsid w:val="00F76C7A"/>
    <w:rsid w:val="00F84F14"/>
    <w:rsid w:val="00F9137D"/>
    <w:rsid w:val="00F97301"/>
    <w:rsid w:val="00FA22FC"/>
    <w:rsid w:val="00FA6258"/>
    <w:rsid w:val="00FC4DA7"/>
    <w:rsid w:val="00FC66A5"/>
    <w:rsid w:val="00FE3E91"/>
    <w:rsid w:val="00FE7D29"/>
    <w:rsid w:val="00FF5569"/>
    <w:rsid w:val="00FF67C8"/>
    <w:rsid w:val="00FF71F4"/>
    <w:rsid w:val="00FF7301"/>
    <w:rsid w:val="015F7696"/>
    <w:rsid w:val="01C3ADEE"/>
    <w:rsid w:val="0DD4E794"/>
    <w:rsid w:val="1138D739"/>
    <w:rsid w:val="14EA6687"/>
    <w:rsid w:val="1607C567"/>
    <w:rsid w:val="1841E702"/>
    <w:rsid w:val="19F02876"/>
    <w:rsid w:val="1B300A63"/>
    <w:rsid w:val="2831480F"/>
    <w:rsid w:val="322779B4"/>
    <w:rsid w:val="3837918C"/>
    <w:rsid w:val="3ECF0EA9"/>
    <w:rsid w:val="5293F207"/>
    <w:rsid w:val="5822E2E4"/>
    <w:rsid w:val="58F194E0"/>
    <w:rsid w:val="5BCC4546"/>
    <w:rsid w:val="5F03E608"/>
    <w:rsid w:val="68C096AC"/>
    <w:rsid w:val="691D9A33"/>
    <w:rsid w:val="6B9B4712"/>
    <w:rsid w:val="75D55D83"/>
    <w:rsid w:val="790F8B36"/>
    <w:rsid w:val="7A4B8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ECEA75"/>
  <w15:docId w15:val="{2572A227-6B3F-47CE-BE99-C50F870A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4CB"/>
    <w:pPr>
      <w:ind w:left="720"/>
      <w:contextualSpacing/>
    </w:pPr>
  </w:style>
  <w:style w:type="paragraph" w:styleId="Header">
    <w:name w:val="header"/>
    <w:basedOn w:val="Normal"/>
    <w:link w:val="HeaderChar"/>
    <w:uiPriority w:val="99"/>
    <w:unhideWhenUsed/>
    <w:rsid w:val="00460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F0A"/>
  </w:style>
  <w:style w:type="paragraph" w:styleId="Footer">
    <w:name w:val="footer"/>
    <w:basedOn w:val="Normal"/>
    <w:link w:val="FooterChar"/>
    <w:uiPriority w:val="99"/>
    <w:unhideWhenUsed/>
    <w:rsid w:val="00460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F0A"/>
  </w:style>
  <w:style w:type="paragraph" w:customStyle="1" w:styleId="F9E977197262459AB16AE09F8A4F0155">
    <w:name w:val="F9E977197262459AB16AE09F8A4F0155"/>
    <w:rsid w:val="00460F0A"/>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460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F0A"/>
    <w:rPr>
      <w:rFonts w:ascii="Tahoma" w:hAnsi="Tahoma" w:cs="Tahoma"/>
      <w:sz w:val="16"/>
      <w:szCs w:val="16"/>
    </w:rPr>
  </w:style>
  <w:style w:type="table" w:styleId="TableGrid">
    <w:name w:val="Table Grid"/>
    <w:basedOn w:val="TableNormal"/>
    <w:uiPriority w:val="59"/>
    <w:rsid w:val="001A7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37D0"/>
    <w:rPr>
      <w:sz w:val="16"/>
      <w:szCs w:val="16"/>
    </w:rPr>
  </w:style>
  <w:style w:type="paragraph" w:styleId="CommentText">
    <w:name w:val="annotation text"/>
    <w:basedOn w:val="Normal"/>
    <w:link w:val="CommentTextChar"/>
    <w:uiPriority w:val="99"/>
    <w:semiHidden/>
    <w:unhideWhenUsed/>
    <w:rsid w:val="000137D0"/>
    <w:pPr>
      <w:spacing w:line="240" w:lineRule="auto"/>
    </w:pPr>
    <w:rPr>
      <w:sz w:val="20"/>
      <w:szCs w:val="20"/>
    </w:rPr>
  </w:style>
  <w:style w:type="character" w:customStyle="1" w:styleId="CommentTextChar">
    <w:name w:val="Comment Text Char"/>
    <w:basedOn w:val="DefaultParagraphFont"/>
    <w:link w:val="CommentText"/>
    <w:uiPriority w:val="99"/>
    <w:semiHidden/>
    <w:rsid w:val="000137D0"/>
    <w:rPr>
      <w:sz w:val="20"/>
      <w:szCs w:val="20"/>
    </w:rPr>
  </w:style>
  <w:style w:type="paragraph" w:styleId="CommentSubject">
    <w:name w:val="annotation subject"/>
    <w:basedOn w:val="CommentText"/>
    <w:next w:val="CommentText"/>
    <w:link w:val="CommentSubjectChar"/>
    <w:uiPriority w:val="99"/>
    <w:semiHidden/>
    <w:unhideWhenUsed/>
    <w:rsid w:val="000137D0"/>
    <w:rPr>
      <w:b/>
      <w:bCs/>
    </w:rPr>
  </w:style>
  <w:style w:type="character" w:customStyle="1" w:styleId="CommentSubjectChar">
    <w:name w:val="Comment Subject Char"/>
    <w:basedOn w:val="CommentTextChar"/>
    <w:link w:val="CommentSubject"/>
    <w:uiPriority w:val="99"/>
    <w:semiHidden/>
    <w:rsid w:val="000137D0"/>
    <w:rPr>
      <w:b/>
      <w:bCs/>
      <w:sz w:val="20"/>
      <w:szCs w:val="20"/>
    </w:rPr>
  </w:style>
  <w:style w:type="paragraph" w:customStyle="1" w:styleId="Default">
    <w:name w:val="Default"/>
    <w:rsid w:val="00184811"/>
    <w:pPr>
      <w:autoSpaceDE w:val="0"/>
      <w:autoSpaceDN w:val="0"/>
      <w:adjustRightInd w:val="0"/>
      <w:spacing w:after="0" w:line="240" w:lineRule="auto"/>
    </w:pPr>
    <w:rPr>
      <w:color w:val="000000"/>
    </w:rPr>
  </w:style>
  <w:style w:type="table" w:customStyle="1" w:styleId="TableGrid1">
    <w:name w:val="Table Grid1"/>
    <w:basedOn w:val="TableNormal"/>
    <w:next w:val="TableGrid"/>
    <w:uiPriority w:val="39"/>
    <w:rsid w:val="0094572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97545">
      <w:bodyDiv w:val="1"/>
      <w:marLeft w:val="0"/>
      <w:marRight w:val="0"/>
      <w:marTop w:val="0"/>
      <w:marBottom w:val="0"/>
      <w:divBdr>
        <w:top w:val="none" w:sz="0" w:space="0" w:color="auto"/>
        <w:left w:val="none" w:sz="0" w:space="0" w:color="auto"/>
        <w:bottom w:val="none" w:sz="0" w:space="0" w:color="auto"/>
        <w:right w:val="none" w:sz="0" w:space="0" w:color="auto"/>
      </w:divBdr>
    </w:div>
    <w:div w:id="212498186">
      <w:bodyDiv w:val="1"/>
      <w:marLeft w:val="0"/>
      <w:marRight w:val="0"/>
      <w:marTop w:val="0"/>
      <w:marBottom w:val="0"/>
      <w:divBdr>
        <w:top w:val="none" w:sz="0" w:space="0" w:color="auto"/>
        <w:left w:val="none" w:sz="0" w:space="0" w:color="auto"/>
        <w:bottom w:val="none" w:sz="0" w:space="0" w:color="auto"/>
        <w:right w:val="none" w:sz="0" w:space="0" w:color="auto"/>
      </w:divBdr>
    </w:div>
    <w:div w:id="271284803">
      <w:bodyDiv w:val="1"/>
      <w:marLeft w:val="0"/>
      <w:marRight w:val="0"/>
      <w:marTop w:val="0"/>
      <w:marBottom w:val="0"/>
      <w:divBdr>
        <w:top w:val="none" w:sz="0" w:space="0" w:color="auto"/>
        <w:left w:val="none" w:sz="0" w:space="0" w:color="auto"/>
        <w:bottom w:val="none" w:sz="0" w:space="0" w:color="auto"/>
        <w:right w:val="none" w:sz="0" w:space="0" w:color="auto"/>
      </w:divBdr>
    </w:div>
    <w:div w:id="512303004">
      <w:bodyDiv w:val="1"/>
      <w:marLeft w:val="0"/>
      <w:marRight w:val="0"/>
      <w:marTop w:val="0"/>
      <w:marBottom w:val="0"/>
      <w:divBdr>
        <w:top w:val="none" w:sz="0" w:space="0" w:color="auto"/>
        <w:left w:val="none" w:sz="0" w:space="0" w:color="auto"/>
        <w:bottom w:val="none" w:sz="0" w:space="0" w:color="auto"/>
        <w:right w:val="none" w:sz="0" w:space="0" w:color="auto"/>
      </w:divBdr>
      <w:divsChild>
        <w:div w:id="65733690">
          <w:marLeft w:val="0"/>
          <w:marRight w:val="0"/>
          <w:marTop w:val="0"/>
          <w:marBottom w:val="0"/>
          <w:divBdr>
            <w:top w:val="none" w:sz="0" w:space="0" w:color="auto"/>
            <w:left w:val="none" w:sz="0" w:space="0" w:color="auto"/>
            <w:bottom w:val="none" w:sz="0" w:space="0" w:color="auto"/>
            <w:right w:val="none" w:sz="0" w:space="0" w:color="auto"/>
          </w:divBdr>
          <w:divsChild>
            <w:div w:id="1460612356">
              <w:marLeft w:val="0"/>
              <w:marRight w:val="0"/>
              <w:marTop w:val="0"/>
              <w:marBottom w:val="0"/>
              <w:divBdr>
                <w:top w:val="none" w:sz="0" w:space="0" w:color="auto"/>
                <w:left w:val="none" w:sz="0" w:space="0" w:color="auto"/>
                <w:bottom w:val="none" w:sz="0" w:space="0" w:color="auto"/>
                <w:right w:val="none" w:sz="0" w:space="0" w:color="auto"/>
              </w:divBdr>
              <w:divsChild>
                <w:div w:id="362174732">
                  <w:marLeft w:val="0"/>
                  <w:marRight w:val="0"/>
                  <w:marTop w:val="0"/>
                  <w:marBottom w:val="0"/>
                  <w:divBdr>
                    <w:top w:val="none" w:sz="0" w:space="0" w:color="auto"/>
                    <w:left w:val="none" w:sz="0" w:space="0" w:color="auto"/>
                    <w:bottom w:val="none" w:sz="0" w:space="0" w:color="auto"/>
                    <w:right w:val="none" w:sz="0" w:space="0" w:color="auto"/>
                  </w:divBdr>
                  <w:divsChild>
                    <w:div w:id="2092923062">
                      <w:marLeft w:val="0"/>
                      <w:marRight w:val="0"/>
                      <w:marTop w:val="0"/>
                      <w:marBottom w:val="0"/>
                      <w:divBdr>
                        <w:top w:val="none" w:sz="0" w:space="0" w:color="auto"/>
                        <w:left w:val="none" w:sz="0" w:space="0" w:color="auto"/>
                        <w:bottom w:val="none" w:sz="0" w:space="0" w:color="auto"/>
                        <w:right w:val="none" w:sz="0" w:space="0" w:color="auto"/>
                      </w:divBdr>
                      <w:divsChild>
                        <w:div w:id="1984191691">
                          <w:marLeft w:val="0"/>
                          <w:marRight w:val="0"/>
                          <w:marTop w:val="0"/>
                          <w:marBottom w:val="0"/>
                          <w:divBdr>
                            <w:top w:val="none" w:sz="0" w:space="0" w:color="auto"/>
                            <w:left w:val="none" w:sz="0" w:space="0" w:color="auto"/>
                            <w:bottom w:val="none" w:sz="0" w:space="0" w:color="auto"/>
                            <w:right w:val="none" w:sz="0" w:space="0" w:color="auto"/>
                          </w:divBdr>
                          <w:divsChild>
                            <w:div w:id="986863291">
                              <w:marLeft w:val="0"/>
                              <w:marRight w:val="0"/>
                              <w:marTop w:val="0"/>
                              <w:marBottom w:val="0"/>
                              <w:divBdr>
                                <w:top w:val="none" w:sz="0" w:space="0" w:color="auto"/>
                                <w:left w:val="none" w:sz="0" w:space="0" w:color="auto"/>
                                <w:bottom w:val="none" w:sz="0" w:space="0" w:color="auto"/>
                                <w:right w:val="none" w:sz="0" w:space="0" w:color="auto"/>
                              </w:divBdr>
                              <w:divsChild>
                                <w:div w:id="978458223">
                                  <w:marLeft w:val="0"/>
                                  <w:marRight w:val="0"/>
                                  <w:marTop w:val="0"/>
                                  <w:marBottom w:val="0"/>
                                  <w:divBdr>
                                    <w:top w:val="none" w:sz="0" w:space="0" w:color="auto"/>
                                    <w:left w:val="none" w:sz="0" w:space="0" w:color="auto"/>
                                    <w:bottom w:val="none" w:sz="0" w:space="0" w:color="auto"/>
                                    <w:right w:val="none" w:sz="0" w:space="0" w:color="auto"/>
                                  </w:divBdr>
                                  <w:divsChild>
                                    <w:div w:id="9451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740889">
      <w:bodyDiv w:val="1"/>
      <w:marLeft w:val="0"/>
      <w:marRight w:val="0"/>
      <w:marTop w:val="0"/>
      <w:marBottom w:val="0"/>
      <w:divBdr>
        <w:top w:val="none" w:sz="0" w:space="0" w:color="auto"/>
        <w:left w:val="none" w:sz="0" w:space="0" w:color="auto"/>
        <w:bottom w:val="none" w:sz="0" w:space="0" w:color="auto"/>
        <w:right w:val="none" w:sz="0" w:space="0" w:color="auto"/>
      </w:divBdr>
    </w:div>
    <w:div w:id="559561753">
      <w:bodyDiv w:val="1"/>
      <w:marLeft w:val="0"/>
      <w:marRight w:val="0"/>
      <w:marTop w:val="0"/>
      <w:marBottom w:val="0"/>
      <w:divBdr>
        <w:top w:val="none" w:sz="0" w:space="0" w:color="auto"/>
        <w:left w:val="none" w:sz="0" w:space="0" w:color="auto"/>
        <w:bottom w:val="none" w:sz="0" w:space="0" w:color="auto"/>
        <w:right w:val="none" w:sz="0" w:space="0" w:color="auto"/>
      </w:divBdr>
      <w:divsChild>
        <w:div w:id="183448607">
          <w:marLeft w:val="0"/>
          <w:marRight w:val="0"/>
          <w:marTop w:val="0"/>
          <w:marBottom w:val="0"/>
          <w:divBdr>
            <w:top w:val="none" w:sz="0" w:space="0" w:color="auto"/>
            <w:left w:val="none" w:sz="0" w:space="0" w:color="auto"/>
            <w:bottom w:val="none" w:sz="0" w:space="0" w:color="auto"/>
            <w:right w:val="none" w:sz="0" w:space="0" w:color="auto"/>
          </w:divBdr>
          <w:divsChild>
            <w:div w:id="1244022275">
              <w:marLeft w:val="0"/>
              <w:marRight w:val="0"/>
              <w:marTop w:val="0"/>
              <w:marBottom w:val="0"/>
              <w:divBdr>
                <w:top w:val="none" w:sz="0" w:space="0" w:color="auto"/>
                <w:left w:val="none" w:sz="0" w:space="0" w:color="auto"/>
                <w:bottom w:val="none" w:sz="0" w:space="0" w:color="auto"/>
                <w:right w:val="none" w:sz="0" w:space="0" w:color="auto"/>
              </w:divBdr>
              <w:divsChild>
                <w:div w:id="1683822949">
                  <w:marLeft w:val="0"/>
                  <w:marRight w:val="0"/>
                  <w:marTop w:val="0"/>
                  <w:marBottom w:val="0"/>
                  <w:divBdr>
                    <w:top w:val="none" w:sz="0" w:space="0" w:color="auto"/>
                    <w:left w:val="none" w:sz="0" w:space="0" w:color="auto"/>
                    <w:bottom w:val="none" w:sz="0" w:space="0" w:color="auto"/>
                    <w:right w:val="none" w:sz="0" w:space="0" w:color="auto"/>
                  </w:divBdr>
                  <w:divsChild>
                    <w:div w:id="5981024">
                      <w:marLeft w:val="0"/>
                      <w:marRight w:val="0"/>
                      <w:marTop w:val="0"/>
                      <w:marBottom w:val="0"/>
                      <w:divBdr>
                        <w:top w:val="none" w:sz="0" w:space="0" w:color="auto"/>
                        <w:left w:val="none" w:sz="0" w:space="0" w:color="auto"/>
                        <w:bottom w:val="none" w:sz="0" w:space="0" w:color="auto"/>
                        <w:right w:val="none" w:sz="0" w:space="0" w:color="auto"/>
                      </w:divBdr>
                      <w:divsChild>
                        <w:div w:id="1787121439">
                          <w:marLeft w:val="0"/>
                          <w:marRight w:val="0"/>
                          <w:marTop w:val="0"/>
                          <w:marBottom w:val="0"/>
                          <w:divBdr>
                            <w:top w:val="none" w:sz="0" w:space="0" w:color="auto"/>
                            <w:left w:val="none" w:sz="0" w:space="0" w:color="auto"/>
                            <w:bottom w:val="none" w:sz="0" w:space="0" w:color="auto"/>
                            <w:right w:val="none" w:sz="0" w:space="0" w:color="auto"/>
                          </w:divBdr>
                          <w:divsChild>
                            <w:div w:id="1605571465">
                              <w:marLeft w:val="0"/>
                              <w:marRight w:val="0"/>
                              <w:marTop w:val="0"/>
                              <w:marBottom w:val="0"/>
                              <w:divBdr>
                                <w:top w:val="none" w:sz="0" w:space="0" w:color="auto"/>
                                <w:left w:val="none" w:sz="0" w:space="0" w:color="auto"/>
                                <w:bottom w:val="none" w:sz="0" w:space="0" w:color="auto"/>
                                <w:right w:val="none" w:sz="0" w:space="0" w:color="auto"/>
                              </w:divBdr>
                              <w:divsChild>
                                <w:div w:id="568423668">
                                  <w:marLeft w:val="0"/>
                                  <w:marRight w:val="0"/>
                                  <w:marTop w:val="0"/>
                                  <w:marBottom w:val="0"/>
                                  <w:divBdr>
                                    <w:top w:val="none" w:sz="0" w:space="0" w:color="auto"/>
                                    <w:left w:val="none" w:sz="0" w:space="0" w:color="auto"/>
                                    <w:bottom w:val="none" w:sz="0" w:space="0" w:color="auto"/>
                                    <w:right w:val="none" w:sz="0" w:space="0" w:color="auto"/>
                                  </w:divBdr>
                                  <w:divsChild>
                                    <w:div w:id="1817452667">
                                      <w:marLeft w:val="0"/>
                                      <w:marRight w:val="0"/>
                                      <w:marTop w:val="0"/>
                                      <w:marBottom w:val="0"/>
                                      <w:divBdr>
                                        <w:top w:val="none" w:sz="0" w:space="0" w:color="auto"/>
                                        <w:left w:val="none" w:sz="0" w:space="0" w:color="auto"/>
                                        <w:bottom w:val="none" w:sz="0" w:space="0" w:color="auto"/>
                                        <w:right w:val="none" w:sz="0" w:space="0" w:color="auto"/>
                                      </w:divBdr>
                                      <w:divsChild>
                                        <w:div w:id="1397242170">
                                          <w:marLeft w:val="0"/>
                                          <w:marRight w:val="0"/>
                                          <w:marTop w:val="0"/>
                                          <w:marBottom w:val="150"/>
                                          <w:divBdr>
                                            <w:top w:val="none" w:sz="0" w:space="0" w:color="auto"/>
                                            <w:left w:val="none" w:sz="0" w:space="0" w:color="auto"/>
                                            <w:bottom w:val="none" w:sz="0" w:space="0" w:color="auto"/>
                                            <w:right w:val="none" w:sz="0" w:space="0" w:color="auto"/>
                                          </w:divBdr>
                                          <w:divsChild>
                                            <w:div w:id="1232153201">
                                              <w:marLeft w:val="0"/>
                                              <w:marRight w:val="0"/>
                                              <w:marTop w:val="0"/>
                                              <w:marBottom w:val="0"/>
                                              <w:divBdr>
                                                <w:top w:val="none" w:sz="0" w:space="0" w:color="auto"/>
                                                <w:left w:val="none" w:sz="0" w:space="0" w:color="auto"/>
                                                <w:bottom w:val="none" w:sz="0" w:space="0" w:color="auto"/>
                                                <w:right w:val="none" w:sz="0" w:space="0" w:color="auto"/>
                                              </w:divBdr>
                                              <w:divsChild>
                                                <w:div w:id="516042730">
                                                  <w:marLeft w:val="0"/>
                                                  <w:marRight w:val="0"/>
                                                  <w:marTop w:val="0"/>
                                                  <w:marBottom w:val="150"/>
                                                  <w:divBdr>
                                                    <w:top w:val="none" w:sz="0" w:space="0" w:color="auto"/>
                                                    <w:left w:val="none" w:sz="0" w:space="0" w:color="auto"/>
                                                    <w:bottom w:val="none" w:sz="0" w:space="0" w:color="auto"/>
                                                    <w:right w:val="none" w:sz="0" w:space="0" w:color="auto"/>
                                                  </w:divBdr>
                                                  <w:divsChild>
                                                    <w:div w:id="1207454025">
                                                      <w:marLeft w:val="0"/>
                                                      <w:marRight w:val="0"/>
                                                      <w:marTop w:val="0"/>
                                                      <w:marBottom w:val="0"/>
                                                      <w:divBdr>
                                                        <w:top w:val="none" w:sz="0" w:space="0" w:color="auto"/>
                                                        <w:left w:val="none" w:sz="0" w:space="0" w:color="auto"/>
                                                        <w:bottom w:val="none" w:sz="0" w:space="0" w:color="auto"/>
                                                        <w:right w:val="none" w:sz="0" w:space="0" w:color="auto"/>
                                                      </w:divBdr>
                                                      <w:divsChild>
                                                        <w:div w:id="1028332835">
                                                          <w:marLeft w:val="0"/>
                                                          <w:marRight w:val="0"/>
                                                          <w:marTop w:val="0"/>
                                                          <w:marBottom w:val="0"/>
                                                          <w:divBdr>
                                                            <w:top w:val="none" w:sz="0" w:space="0" w:color="auto"/>
                                                            <w:left w:val="none" w:sz="0" w:space="0" w:color="auto"/>
                                                            <w:bottom w:val="none" w:sz="0" w:space="0" w:color="auto"/>
                                                            <w:right w:val="none" w:sz="0" w:space="0" w:color="auto"/>
                                                          </w:divBdr>
                                                          <w:divsChild>
                                                            <w:div w:id="4330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6697319">
      <w:bodyDiv w:val="1"/>
      <w:marLeft w:val="0"/>
      <w:marRight w:val="0"/>
      <w:marTop w:val="0"/>
      <w:marBottom w:val="0"/>
      <w:divBdr>
        <w:top w:val="none" w:sz="0" w:space="0" w:color="auto"/>
        <w:left w:val="none" w:sz="0" w:space="0" w:color="auto"/>
        <w:bottom w:val="none" w:sz="0" w:space="0" w:color="auto"/>
        <w:right w:val="none" w:sz="0" w:space="0" w:color="auto"/>
      </w:divBdr>
    </w:div>
    <w:div w:id="630865635">
      <w:bodyDiv w:val="1"/>
      <w:marLeft w:val="0"/>
      <w:marRight w:val="0"/>
      <w:marTop w:val="0"/>
      <w:marBottom w:val="0"/>
      <w:divBdr>
        <w:top w:val="none" w:sz="0" w:space="0" w:color="auto"/>
        <w:left w:val="none" w:sz="0" w:space="0" w:color="auto"/>
        <w:bottom w:val="none" w:sz="0" w:space="0" w:color="auto"/>
        <w:right w:val="none" w:sz="0" w:space="0" w:color="auto"/>
      </w:divBdr>
    </w:div>
    <w:div w:id="737747788">
      <w:bodyDiv w:val="1"/>
      <w:marLeft w:val="0"/>
      <w:marRight w:val="0"/>
      <w:marTop w:val="0"/>
      <w:marBottom w:val="0"/>
      <w:divBdr>
        <w:top w:val="none" w:sz="0" w:space="0" w:color="auto"/>
        <w:left w:val="none" w:sz="0" w:space="0" w:color="auto"/>
        <w:bottom w:val="none" w:sz="0" w:space="0" w:color="auto"/>
        <w:right w:val="none" w:sz="0" w:space="0" w:color="auto"/>
      </w:divBdr>
    </w:div>
    <w:div w:id="752700267">
      <w:bodyDiv w:val="1"/>
      <w:marLeft w:val="0"/>
      <w:marRight w:val="0"/>
      <w:marTop w:val="0"/>
      <w:marBottom w:val="0"/>
      <w:divBdr>
        <w:top w:val="none" w:sz="0" w:space="0" w:color="auto"/>
        <w:left w:val="none" w:sz="0" w:space="0" w:color="auto"/>
        <w:bottom w:val="none" w:sz="0" w:space="0" w:color="auto"/>
        <w:right w:val="none" w:sz="0" w:space="0" w:color="auto"/>
      </w:divBdr>
    </w:div>
    <w:div w:id="767312690">
      <w:bodyDiv w:val="1"/>
      <w:marLeft w:val="0"/>
      <w:marRight w:val="0"/>
      <w:marTop w:val="0"/>
      <w:marBottom w:val="0"/>
      <w:divBdr>
        <w:top w:val="none" w:sz="0" w:space="0" w:color="auto"/>
        <w:left w:val="none" w:sz="0" w:space="0" w:color="auto"/>
        <w:bottom w:val="none" w:sz="0" w:space="0" w:color="auto"/>
        <w:right w:val="none" w:sz="0" w:space="0" w:color="auto"/>
      </w:divBdr>
    </w:div>
    <w:div w:id="804739993">
      <w:bodyDiv w:val="1"/>
      <w:marLeft w:val="0"/>
      <w:marRight w:val="0"/>
      <w:marTop w:val="0"/>
      <w:marBottom w:val="0"/>
      <w:divBdr>
        <w:top w:val="none" w:sz="0" w:space="0" w:color="auto"/>
        <w:left w:val="none" w:sz="0" w:space="0" w:color="auto"/>
        <w:bottom w:val="none" w:sz="0" w:space="0" w:color="auto"/>
        <w:right w:val="none" w:sz="0" w:space="0" w:color="auto"/>
      </w:divBdr>
    </w:div>
    <w:div w:id="875855118">
      <w:bodyDiv w:val="1"/>
      <w:marLeft w:val="0"/>
      <w:marRight w:val="0"/>
      <w:marTop w:val="0"/>
      <w:marBottom w:val="0"/>
      <w:divBdr>
        <w:top w:val="none" w:sz="0" w:space="0" w:color="auto"/>
        <w:left w:val="none" w:sz="0" w:space="0" w:color="auto"/>
        <w:bottom w:val="none" w:sz="0" w:space="0" w:color="auto"/>
        <w:right w:val="none" w:sz="0" w:space="0" w:color="auto"/>
      </w:divBdr>
    </w:div>
    <w:div w:id="910233034">
      <w:bodyDiv w:val="1"/>
      <w:marLeft w:val="0"/>
      <w:marRight w:val="0"/>
      <w:marTop w:val="0"/>
      <w:marBottom w:val="0"/>
      <w:divBdr>
        <w:top w:val="none" w:sz="0" w:space="0" w:color="auto"/>
        <w:left w:val="none" w:sz="0" w:space="0" w:color="auto"/>
        <w:bottom w:val="none" w:sz="0" w:space="0" w:color="auto"/>
        <w:right w:val="none" w:sz="0" w:space="0" w:color="auto"/>
      </w:divBdr>
    </w:div>
    <w:div w:id="954412546">
      <w:bodyDiv w:val="1"/>
      <w:marLeft w:val="0"/>
      <w:marRight w:val="0"/>
      <w:marTop w:val="0"/>
      <w:marBottom w:val="0"/>
      <w:divBdr>
        <w:top w:val="none" w:sz="0" w:space="0" w:color="auto"/>
        <w:left w:val="none" w:sz="0" w:space="0" w:color="auto"/>
        <w:bottom w:val="none" w:sz="0" w:space="0" w:color="auto"/>
        <w:right w:val="none" w:sz="0" w:space="0" w:color="auto"/>
      </w:divBdr>
    </w:div>
    <w:div w:id="977146678">
      <w:bodyDiv w:val="1"/>
      <w:marLeft w:val="0"/>
      <w:marRight w:val="0"/>
      <w:marTop w:val="0"/>
      <w:marBottom w:val="0"/>
      <w:divBdr>
        <w:top w:val="none" w:sz="0" w:space="0" w:color="auto"/>
        <w:left w:val="none" w:sz="0" w:space="0" w:color="auto"/>
        <w:bottom w:val="none" w:sz="0" w:space="0" w:color="auto"/>
        <w:right w:val="none" w:sz="0" w:space="0" w:color="auto"/>
      </w:divBdr>
    </w:div>
    <w:div w:id="979575344">
      <w:bodyDiv w:val="1"/>
      <w:marLeft w:val="0"/>
      <w:marRight w:val="0"/>
      <w:marTop w:val="0"/>
      <w:marBottom w:val="0"/>
      <w:divBdr>
        <w:top w:val="none" w:sz="0" w:space="0" w:color="auto"/>
        <w:left w:val="none" w:sz="0" w:space="0" w:color="auto"/>
        <w:bottom w:val="none" w:sz="0" w:space="0" w:color="auto"/>
        <w:right w:val="none" w:sz="0" w:space="0" w:color="auto"/>
      </w:divBdr>
    </w:div>
    <w:div w:id="993685796">
      <w:bodyDiv w:val="1"/>
      <w:marLeft w:val="0"/>
      <w:marRight w:val="0"/>
      <w:marTop w:val="0"/>
      <w:marBottom w:val="0"/>
      <w:divBdr>
        <w:top w:val="none" w:sz="0" w:space="0" w:color="auto"/>
        <w:left w:val="none" w:sz="0" w:space="0" w:color="auto"/>
        <w:bottom w:val="none" w:sz="0" w:space="0" w:color="auto"/>
        <w:right w:val="none" w:sz="0" w:space="0" w:color="auto"/>
      </w:divBdr>
    </w:div>
    <w:div w:id="1032342477">
      <w:bodyDiv w:val="1"/>
      <w:marLeft w:val="0"/>
      <w:marRight w:val="0"/>
      <w:marTop w:val="0"/>
      <w:marBottom w:val="0"/>
      <w:divBdr>
        <w:top w:val="none" w:sz="0" w:space="0" w:color="auto"/>
        <w:left w:val="none" w:sz="0" w:space="0" w:color="auto"/>
        <w:bottom w:val="none" w:sz="0" w:space="0" w:color="auto"/>
        <w:right w:val="none" w:sz="0" w:space="0" w:color="auto"/>
      </w:divBdr>
    </w:div>
    <w:div w:id="1036810786">
      <w:bodyDiv w:val="1"/>
      <w:marLeft w:val="0"/>
      <w:marRight w:val="0"/>
      <w:marTop w:val="0"/>
      <w:marBottom w:val="0"/>
      <w:divBdr>
        <w:top w:val="none" w:sz="0" w:space="0" w:color="auto"/>
        <w:left w:val="none" w:sz="0" w:space="0" w:color="auto"/>
        <w:bottom w:val="none" w:sz="0" w:space="0" w:color="auto"/>
        <w:right w:val="none" w:sz="0" w:space="0" w:color="auto"/>
      </w:divBdr>
    </w:div>
    <w:div w:id="1318535633">
      <w:bodyDiv w:val="1"/>
      <w:marLeft w:val="0"/>
      <w:marRight w:val="0"/>
      <w:marTop w:val="0"/>
      <w:marBottom w:val="0"/>
      <w:divBdr>
        <w:top w:val="none" w:sz="0" w:space="0" w:color="auto"/>
        <w:left w:val="none" w:sz="0" w:space="0" w:color="auto"/>
        <w:bottom w:val="none" w:sz="0" w:space="0" w:color="auto"/>
        <w:right w:val="none" w:sz="0" w:space="0" w:color="auto"/>
      </w:divBdr>
    </w:div>
    <w:div w:id="1478761807">
      <w:bodyDiv w:val="1"/>
      <w:marLeft w:val="0"/>
      <w:marRight w:val="0"/>
      <w:marTop w:val="0"/>
      <w:marBottom w:val="0"/>
      <w:divBdr>
        <w:top w:val="none" w:sz="0" w:space="0" w:color="auto"/>
        <w:left w:val="none" w:sz="0" w:space="0" w:color="auto"/>
        <w:bottom w:val="none" w:sz="0" w:space="0" w:color="auto"/>
        <w:right w:val="none" w:sz="0" w:space="0" w:color="auto"/>
      </w:divBdr>
      <w:divsChild>
        <w:div w:id="1788740664">
          <w:marLeft w:val="0"/>
          <w:marRight w:val="0"/>
          <w:marTop w:val="0"/>
          <w:marBottom w:val="0"/>
          <w:divBdr>
            <w:top w:val="none" w:sz="0" w:space="0" w:color="auto"/>
            <w:left w:val="none" w:sz="0" w:space="0" w:color="auto"/>
            <w:bottom w:val="none" w:sz="0" w:space="0" w:color="auto"/>
            <w:right w:val="none" w:sz="0" w:space="0" w:color="auto"/>
          </w:divBdr>
          <w:divsChild>
            <w:div w:id="2037344559">
              <w:marLeft w:val="0"/>
              <w:marRight w:val="0"/>
              <w:marTop w:val="0"/>
              <w:marBottom w:val="0"/>
              <w:divBdr>
                <w:top w:val="none" w:sz="0" w:space="0" w:color="auto"/>
                <w:left w:val="none" w:sz="0" w:space="0" w:color="auto"/>
                <w:bottom w:val="none" w:sz="0" w:space="0" w:color="auto"/>
                <w:right w:val="none" w:sz="0" w:space="0" w:color="auto"/>
              </w:divBdr>
              <w:divsChild>
                <w:div w:id="271934844">
                  <w:marLeft w:val="0"/>
                  <w:marRight w:val="0"/>
                  <w:marTop w:val="0"/>
                  <w:marBottom w:val="0"/>
                  <w:divBdr>
                    <w:top w:val="none" w:sz="0" w:space="0" w:color="auto"/>
                    <w:left w:val="none" w:sz="0" w:space="0" w:color="auto"/>
                    <w:bottom w:val="none" w:sz="0" w:space="0" w:color="auto"/>
                    <w:right w:val="none" w:sz="0" w:space="0" w:color="auto"/>
                  </w:divBdr>
                  <w:divsChild>
                    <w:div w:id="608664221">
                      <w:marLeft w:val="0"/>
                      <w:marRight w:val="0"/>
                      <w:marTop w:val="0"/>
                      <w:marBottom w:val="0"/>
                      <w:divBdr>
                        <w:top w:val="none" w:sz="0" w:space="0" w:color="auto"/>
                        <w:left w:val="none" w:sz="0" w:space="0" w:color="auto"/>
                        <w:bottom w:val="none" w:sz="0" w:space="0" w:color="auto"/>
                        <w:right w:val="none" w:sz="0" w:space="0" w:color="auto"/>
                      </w:divBdr>
                      <w:divsChild>
                        <w:div w:id="161775165">
                          <w:marLeft w:val="0"/>
                          <w:marRight w:val="0"/>
                          <w:marTop w:val="0"/>
                          <w:marBottom w:val="0"/>
                          <w:divBdr>
                            <w:top w:val="none" w:sz="0" w:space="0" w:color="auto"/>
                            <w:left w:val="none" w:sz="0" w:space="0" w:color="auto"/>
                            <w:bottom w:val="none" w:sz="0" w:space="0" w:color="auto"/>
                            <w:right w:val="none" w:sz="0" w:space="0" w:color="auto"/>
                          </w:divBdr>
                          <w:divsChild>
                            <w:div w:id="1966740665">
                              <w:marLeft w:val="0"/>
                              <w:marRight w:val="0"/>
                              <w:marTop w:val="0"/>
                              <w:marBottom w:val="0"/>
                              <w:divBdr>
                                <w:top w:val="none" w:sz="0" w:space="0" w:color="auto"/>
                                <w:left w:val="none" w:sz="0" w:space="0" w:color="auto"/>
                                <w:bottom w:val="none" w:sz="0" w:space="0" w:color="auto"/>
                                <w:right w:val="none" w:sz="0" w:space="0" w:color="auto"/>
                              </w:divBdr>
                              <w:divsChild>
                                <w:div w:id="1503620937">
                                  <w:marLeft w:val="0"/>
                                  <w:marRight w:val="0"/>
                                  <w:marTop w:val="0"/>
                                  <w:marBottom w:val="0"/>
                                  <w:divBdr>
                                    <w:top w:val="none" w:sz="0" w:space="0" w:color="auto"/>
                                    <w:left w:val="none" w:sz="0" w:space="0" w:color="auto"/>
                                    <w:bottom w:val="none" w:sz="0" w:space="0" w:color="auto"/>
                                    <w:right w:val="none" w:sz="0" w:space="0" w:color="auto"/>
                                  </w:divBdr>
                                  <w:divsChild>
                                    <w:div w:id="5479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361007">
      <w:bodyDiv w:val="1"/>
      <w:marLeft w:val="0"/>
      <w:marRight w:val="0"/>
      <w:marTop w:val="0"/>
      <w:marBottom w:val="0"/>
      <w:divBdr>
        <w:top w:val="none" w:sz="0" w:space="0" w:color="auto"/>
        <w:left w:val="none" w:sz="0" w:space="0" w:color="auto"/>
        <w:bottom w:val="none" w:sz="0" w:space="0" w:color="auto"/>
        <w:right w:val="none" w:sz="0" w:space="0" w:color="auto"/>
      </w:divBdr>
    </w:div>
    <w:div w:id="1505974935">
      <w:bodyDiv w:val="1"/>
      <w:marLeft w:val="0"/>
      <w:marRight w:val="0"/>
      <w:marTop w:val="0"/>
      <w:marBottom w:val="0"/>
      <w:divBdr>
        <w:top w:val="none" w:sz="0" w:space="0" w:color="auto"/>
        <w:left w:val="none" w:sz="0" w:space="0" w:color="auto"/>
        <w:bottom w:val="none" w:sz="0" w:space="0" w:color="auto"/>
        <w:right w:val="none" w:sz="0" w:space="0" w:color="auto"/>
      </w:divBdr>
    </w:div>
    <w:div w:id="1634360229">
      <w:bodyDiv w:val="1"/>
      <w:marLeft w:val="0"/>
      <w:marRight w:val="0"/>
      <w:marTop w:val="0"/>
      <w:marBottom w:val="0"/>
      <w:divBdr>
        <w:top w:val="none" w:sz="0" w:space="0" w:color="auto"/>
        <w:left w:val="none" w:sz="0" w:space="0" w:color="auto"/>
        <w:bottom w:val="none" w:sz="0" w:space="0" w:color="auto"/>
        <w:right w:val="none" w:sz="0" w:space="0" w:color="auto"/>
      </w:divBdr>
    </w:div>
    <w:div w:id="1658265353">
      <w:bodyDiv w:val="1"/>
      <w:marLeft w:val="0"/>
      <w:marRight w:val="0"/>
      <w:marTop w:val="0"/>
      <w:marBottom w:val="0"/>
      <w:divBdr>
        <w:top w:val="none" w:sz="0" w:space="0" w:color="auto"/>
        <w:left w:val="none" w:sz="0" w:space="0" w:color="auto"/>
        <w:bottom w:val="none" w:sz="0" w:space="0" w:color="auto"/>
        <w:right w:val="none" w:sz="0" w:space="0" w:color="auto"/>
      </w:divBdr>
    </w:div>
    <w:div w:id="1673485433">
      <w:bodyDiv w:val="1"/>
      <w:marLeft w:val="0"/>
      <w:marRight w:val="0"/>
      <w:marTop w:val="0"/>
      <w:marBottom w:val="0"/>
      <w:divBdr>
        <w:top w:val="none" w:sz="0" w:space="0" w:color="auto"/>
        <w:left w:val="none" w:sz="0" w:space="0" w:color="auto"/>
        <w:bottom w:val="none" w:sz="0" w:space="0" w:color="auto"/>
        <w:right w:val="none" w:sz="0" w:space="0" w:color="auto"/>
      </w:divBdr>
    </w:div>
    <w:div w:id="1863471479">
      <w:bodyDiv w:val="1"/>
      <w:marLeft w:val="0"/>
      <w:marRight w:val="0"/>
      <w:marTop w:val="0"/>
      <w:marBottom w:val="0"/>
      <w:divBdr>
        <w:top w:val="none" w:sz="0" w:space="0" w:color="auto"/>
        <w:left w:val="none" w:sz="0" w:space="0" w:color="auto"/>
        <w:bottom w:val="none" w:sz="0" w:space="0" w:color="auto"/>
        <w:right w:val="none" w:sz="0" w:space="0" w:color="auto"/>
      </w:divBdr>
    </w:div>
    <w:div w:id="1874224526">
      <w:bodyDiv w:val="1"/>
      <w:marLeft w:val="0"/>
      <w:marRight w:val="0"/>
      <w:marTop w:val="0"/>
      <w:marBottom w:val="0"/>
      <w:divBdr>
        <w:top w:val="none" w:sz="0" w:space="0" w:color="auto"/>
        <w:left w:val="none" w:sz="0" w:space="0" w:color="auto"/>
        <w:bottom w:val="none" w:sz="0" w:space="0" w:color="auto"/>
        <w:right w:val="none" w:sz="0" w:space="0" w:color="auto"/>
      </w:divBdr>
    </w:div>
    <w:div w:id="1884558464">
      <w:bodyDiv w:val="1"/>
      <w:marLeft w:val="0"/>
      <w:marRight w:val="0"/>
      <w:marTop w:val="0"/>
      <w:marBottom w:val="0"/>
      <w:divBdr>
        <w:top w:val="none" w:sz="0" w:space="0" w:color="auto"/>
        <w:left w:val="none" w:sz="0" w:space="0" w:color="auto"/>
        <w:bottom w:val="none" w:sz="0" w:space="0" w:color="auto"/>
        <w:right w:val="none" w:sz="0" w:space="0" w:color="auto"/>
      </w:divBdr>
    </w:div>
    <w:div w:id="1904681641">
      <w:bodyDiv w:val="1"/>
      <w:marLeft w:val="0"/>
      <w:marRight w:val="0"/>
      <w:marTop w:val="0"/>
      <w:marBottom w:val="0"/>
      <w:divBdr>
        <w:top w:val="none" w:sz="0" w:space="0" w:color="auto"/>
        <w:left w:val="none" w:sz="0" w:space="0" w:color="auto"/>
        <w:bottom w:val="none" w:sz="0" w:space="0" w:color="auto"/>
        <w:right w:val="none" w:sz="0" w:space="0" w:color="auto"/>
      </w:divBdr>
    </w:div>
    <w:div w:id="1920943479">
      <w:bodyDiv w:val="1"/>
      <w:marLeft w:val="0"/>
      <w:marRight w:val="0"/>
      <w:marTop w:val="0"/>
      <w:marBottom w:val="0"/>
      <w:divBdr>
        <w:top w:val="none" w:sz="0" w:space="0" w:color="auto"/>
        <w:left w:val="none" w:sz="0" w:space="0" w:color="auto"/>
        <w:bottom w:val="none" w:sz="0" w:space="0" w:color="auto"/>
        <w:right w:val="none" w:sz="0" w:space="0" w:color="auto"/>
      </w:divBdr>
    </w:div>
    <w:div w:id="1934589371">
      <w:bodyDiv w:val="1"/>
      <w:marLeft w:val="0"/>
      <w:marRight w:val="0"/>
      <w:marTop w:val="0"/>
      <w:marBottom w:val="0"/>
      <w:divBdr>
        <w:top w:val="none" w:sz="0" w:space="0" w:color="auto"/>
        <w:left w:val="none" w:sz="0" w:space="0" w:color="auto"/>
        <w:bottom w:val="none" w:sz="0" w:space="0" w:color="auto"/>
        <w:right w:val="none" w:sz="0" w:space="0" w:color="auto"/>
      </w:divBdr>
    </w:div>
    <w:div w:id="1991671396">
      <w:bodyDiv w:val="1"/>
      <w:marLeft w:val="0"/>
      <w:marRight w:val="0"/>
      <w:marTop w:val="0"/>
      <w:marBottom w:val="0"/>
      <w:divBdr>
        <w:top w:val="none" w:sz="0" w:space="0" w:color="auto"/>
        <w:left w:val="none" w:sz="0" w:space="0" w:color="auto"/>
        <w:bottom w:val="none" w:sz="0" w:space="0" w:color="auto"/>
        <w:right w:val="none" w:sz="0" w:space="0" w:color="auto"/>
      </w:divBdr>
    </w:div>
    <w:div w:id="2016033166">
      <w:bodyDiv w:val="1"/>
      <w:marLeft w:val="0"/>
      <w:marRight w:val="0"/>
      <w:marTop w:val="0"/>
      <w:marBottom w:val="0"/>
      <w:divBdr>
        <w:top w:val="none" w:sz="0" w:space="0" w:color="auto"/>
        <w:left w:val="none" w:sz="0" w:space="0" w:color="auto"/>
        <w:bottom w:val="none" w:sz="0" w:space="0" w:color="auto"/>
        <w:right w:val="none" w:sz="0" w:space="0" w:color="auto"/>
      </w:divBdr>
    </w:div>
    <w:div w:id="2025593047">
      <w:bodyDiv w:val="1"/>
      <w:marLeft w:val="0"/>
      <w:marRight w:val="0"/>
      <w:marTop w:val="0"/>
      <w:marBottom w:val="0"/>
      <w:divBdr>
        <w:top w:val="none" w:sz="0" w:space="0" w:color="auto"/>
        <w:left w:val="none" w:sz="0" w:space="0" w:color="auto"/>
        <w:bottom w:val="none" w:sz="0" w:space="0" w:color="auto"/>
        <w:right w:val="none" w:sz="0" w:space="0" w:color="auto"/>
      </w:divBdr>
    </w:div>
    <w:div w:id="20461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F8A66B33E4B241AC8A8609131E119B" ma:contentTypeVersion="17" ma:contentTypeDescription="Create a new document." ma:contentTypeScope="" ma:versionID="3582149ab63843eac98672642d84977e">
  <xsd:schema xmlns:xsd="http://www.w3.org/2001/XMLSchema" xmlns:xs="http://www.w3.org/2001/XMLSchema" xmlns:p="http://schemas.microsoft.com/office/2006/metadata/properties" xmlns:ns2="806a382f-edea-46ec-a6a4-ae1adc920112" xmlns:ns3="f90ba1d6-6af1-4aa8-bb4e-c732646d1539" targetNamespace="http://schemas.microsoft.com/office/2006/metadata/properties" ma:root="true" ma:fieldsID="364a82c841eff187ef43153fcf08192a" ns2:_="" ns3:_="">
    <xsd:import namespace="806a382f-edea-46ec-a6a4-ae1adc920112"/>
    <xsd:import namespace="f90ba1d6-6af1-4aa8-bb4e-c732646d15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a382f-edea-46ec-a6a4-ae1adc920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683d77-c0f7-49c5-b21c-b8c10d03f3f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ba1d6-6af1-4aa8-bb4e-c732646d15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5531058-2aa5-4191-9510-138b5d08f093}" ma:internalName="TaxCatchAll" ma:showField="CatchAllData" ma:web="f90ba1d6-6af1-4aa8-bb4e-c732646d15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0ba1d6-6af1-4aa8-bb4e-c732646d1539" xsi:nil="true"/>
    <lcf76f155ced4ddcb4097134ff3c332f xmlns="806a382f-edea-46ec-a6a4-ae1adc92011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AB060-7715-4D5D-9E1A-E8082C3872A9}">
  <ds:schemaRefs>
    <ds:schemaRef ds:uri="http://schemas.openxmlformats.org/officeDocument/2006/bibliography"/>
  </ds:schemaRefs>
</ds:datastoreItem>
</file>

<file path=customXml/itemProps2.xml><?xml version="1.0" encoding="utf-8"?>
<ds:datastoreItem xmlns:ds="http://schemas.openxmlformats.org/officeDocument/2006/customXml" ds:itemID="{2914C307-6F8A-4400-8E1D-00AFA7AC4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a382f-edea-46ec-a6a4-ae1adc920112"/>
    <ds:schemaRef ds:uri="f90ba1d6-6af1-4aa8-bb4e-c732646d1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ED72A-88D9-461F-92B1-CFE657BB78EB}">
  <ds:schemaRefs>
    <ds:schemaRef ds:uri="http://schemas.microsoft.com/office/2006/metadata/properties"/>
    <ds:schemaRef ds:uri="http://schemas.microsoft.com/office/infopath/2007/PartnerControls"/>
    <ds:schemaRef ds:uri="f90ba1d6-6af1-4aa8-bb4e-c732646d1539"/>
    <ds:schemaRef ds:uri="806a382f-edea-46ec-a6a4-ae1adc920112"/>
  </ds:schemaRefs>
</ds:datastoreItem>
</file>

<file path=customXml/itemProps4.xml><?xml version="1.0" encoding="utf-8"?>
<ds:datastoreItem xmlns:ds="http://schemas.openxmlformats.org/officeDocument/2006/customXml" ds:itemID="{1916E0E9-E83E-4202-855E-A942FB9DE8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1920</Words>
  <Characters>10946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 fee policy 2018/19</dc:creator>
  <cp:keywords/>
  <cp:lastModifiedBy>Jason Raymond</cp:lastModifiedBy>
  <cp:revision>2</cp:revision>
  <cp:lastPrinted>2024-07-15T09:34:00Z</cp:lastPrinted>
  <dcterms:created xsi:type="dcterms:W3CDTF">2024-07-15T09:35:00Z</dcterms:created>
  <dcterms:modified xsi:type="dcterms:W3CDTF">2024-07-15T09:35:00Z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0x01010094F8A66B33E4B241AC8A8609131E119B</vt:lpwstr>
  </property>
  <property fmtid="{D5CDD505-2E9C-101B-9397-08002B2CF9AE}" pid="3" name="MediaServiceImageTags">
    <vt:lpwstr/>
  </property>
</Properties>
</file>